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D857" w14:textId="77777777" w:rsidR="00BC4F4C" w:rsidRDefault="0082648F">
      <w:pPr>
        <w:pStyle w:val="Standard"/>
        <w:spacing w:line="360" w:lineRule="auto"/>
        <w:jc w:val="both"/>
      </w:pPr>
      <w:r>
        <w:t>Załącznik 1. Wykaz metod i technik badania poszczeg</w:t>
      </w:r>
      <w:bookmarkStart w:id="0" w:name="_GoBack"/>
      <w:bookmarkEnd w:id="0"/>
      <w:r>
        <w:t>ólnych obszarów sprawozdania finansowego</w:t>
      </w:r>
    </w:p>
    <w:p w14:paraId="71566110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wartości niematerialnych i prawnych</w:t>
      </w:r>
    </w:p>
    <w:p w14:paraId="19D68C64" w14:textId="77777777" w:rsidR="00BC4F4C" w:rsidRDefault="0082648F">
      <w:pPr>
        <w:pStyle w:val="Standard"/>
        <w:spacing w:after="0" w:line="360" w:lineRule="auto"/>
        <w:jc w:val="both"/>
      </w:pPr>
      <w:r>
        <w:t>W celu weryfikacji salda pozycji wartości niematerialnych i prawnych należy przeprowadzić niżej wskazane procedury badawcze:</w:t>
      </w:r>
    </w:p>
    <w:p w14:paraId="56D48941" w14:textId="77777777" w:rsidR="00BC4F4C" w:rsidRDefault="0082648F">
      <w:pPr>
        <w:pStyle w:val="Standard"/>
        <w:numPr>
          <w:ilvl w:val="0"/>
          <w:numId w:val="21"/>
        </w:numPr>
        <w:spacing w:after="0" w:line="360" w:lineRule="auto"/>
        <w:jc w:val="both"/>
      </w:pPr>
      <w:r>
        <w:t>Uzgodnienie analityki z syntetyką oraz pozycjami sprawozdania finansowego – technika analizy</w:t>
      </w:r>
      <w:r>
        <w:tab/>
      </w:r>
    </w:p>
    <w:p w14:paraId="32A273E8" w14:textId="77777777" w:rsidR="00BC4F4C" w:rsidRDefault="0082648F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t>Potwierdzenie istnienia poszczególnych składników wartości niematerialnych i prawnych – technika bezpośredniego oglądu</w:t>
      </w:r>
    </w:p>
    <w:p w14:paraId="1D455756" w14:textId="77777777" w:rsidR="00BC4F4C" w:rsidRDefault="0082648F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t>Wycena – prawidłowość ujęcia w księgach rachunkowych wartości zwiększeń i zmniejszeń wartości niematerialnych i prawnych – technika obliczenia</w:t>
      </w:r>
    </w:p>
    <w:p w14:paraId="08343FBC" w14:textId="77777777" w:rsidR="00BC4F4C" w:rsidRDefault="0082648F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t>Wycena – uzgodnienie kosztów amortyzacji ujętej w rachunku zysków i strat z wartością odpisów amortyzacyjnych dokonanych w badanym okresie sprawozdawczym – technika obliczenia</w:t>
      </w:r>
    </w:p>
    <w:p w14:paraId="577DB955" w14:textId="77777777" w:rsidR="00BC4F4C" w:rsidRDefault="0082648F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t xml:space="preserve">Wycena – analiza przesłanek mogących świadczyć o utracie wartości przez poszczególne składniki wartości niematerialnych i prawnych – technika obserwacji i zapytania, obliczenia </w:t>
      </w:r>
      <w:r>
        <w:tab/>
      </w:r>
    </w:p>
    <w:p w14:paraId="0D3BC7E6" w14:textId="77777777" w:rsidR="00BC4F4C" w:rsidRDefault="0082648F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t>Badanie kompletności – kompletność ujęcia w rachunku zysków i strat badanego okresu kosztów napraw i remontów poniesionych przez jednostkę oraz ich prawidłowa kwalifikacja – technika analizy</w:t>
      </w:r>
    </w:p>
    <w:p w14:paraId="49708A1C" w14:textId="77777777" w:rsidR="00BC4F4C" w:rsidRDefault="0082648F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t>Badanie kompletności leasingów oraz ich podział na część długo</w:t>
      </w:r>
      <w:r w:rsidR="00EA11E1">
        <w:t>-</w:t>
      </w:r>
      <w:r>
        <w:t xml:space="preserve"> i krótkoterminową – technika analizy</w:t>
      </w:r>
    </w:p>
    <w:p w14:paraId="7D6F3FEA" w14:textId="77777777" w:rsidR="00BC4F4C" w:rsidRDefault="0082648F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t>Weryfikacja zabezpieczeń ustanowionych na majątku badanej jednostki – technika wywiadu i analizy</w:t>
      </w:r>
    </w:p>
    <w:p w14:paraId="2FF3FBDB" w14:textId="77777777" w:rsidR="00BC4F4C" w:rsidRDefault="0082648F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t xml:space="preserve">Weryfikacja prawidłowości ujęcia w księgach rachunkowych wartości zwiększeń </w:t>
      </w:r>
      <w:r>
        <w:br/>
        <w:t>i zmniejszeń wartości niematerialnych i prawnych na przestrzeni lat obrotowych – technika analizy</w:t>
      </w:r>
    </w:p>
    <w:p w14:paraId="3E11C02C" w14:textId="77777777" w:rsidR="00BC4F4C" w:rsidRDefault="00BC4F4C">
      <w:pPr>
        <w:pStyle w:val="Standard"/>
        <w:spacing w:after="0" w:line="360" w:lineRule="auto"/>
        <w:jc w:val="both"/>
      </w:pPr>
    </w:p>
    <w:p w14:paraId="4A0639FE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6BEB8F3A" w14:textId="77777777" w:rsidR="00BC4F4C" w:rsidRDefault="0082648F">
      <w:pPr>
        <w:pStyle w:val="Standard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</w:p>
    <w:p w14:paraId="46E288A0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rzeczowych środków trwałych</w:t>
      </w:r>
    </w:p>
    <w:p w14:paraId="7BA032F8" w14:textId="77777777" w:rsidR="00BC4F4C" w:rsidRDefault="0082648F">
      <w:pPr>
        <w:pStyle w:val="Standard"/>
        <w:spacing w:after="0" w:line="360" w:lineRule="auto"/>
        <w:jc w:val="both"/>
      </w:pPr>
      <w:r>
        <w:t>W celu weryfikacji salda pozycji rzeczowych aktywów trwałych należy przeprowadzić niżej wskazane procedury badawcze:</w:t>
      </w:r>
    </w:p>
    <w:p w14:paraId="4BD053EC" w14:textId="77777777" w:rsidR="00BC4F4C" w:rsidRDefault="0082648F">
      <w:pPr>
        <w:pStyle w:val="Standard"/>
        <w:numPr>
          <w:ilvl w:val="0"/>
          <w:numId w:val="22"/>
        </w:numPr>
        <w:spacing w:after="0" w:line="360" w:lineRule="auto"/>
        <w:jc w:val="both"/>
      </w:pPr>
      <w:r>
        <w:t>Uzgodnienie analityki z syntetyką oraz pozycjami sprawozdania finansowego – technika analizy</w:t>
      </w:r>
    </w:p>
    <w:p w14:paraId="12305A15" w14:textId="77777777" w:rsidR="00BC4F4C" w:rsidRDefault="0082648F">
      <w:pPr>
        <w:pStyle w:val="Standard"/>
        <w:numPr>
          <w:ilvl w:val="0"/>
          <w:numId w:val="22"/>
        </w:numPr>
        <w:spacing w:after="0" w:line="360" w:lineRule="auto"/>
        <w:jc w:val="both"/>
      </w:pPr>
      <w:r>
        <w:t>Potwierdzenie istnienia poszczególnych składników rzeczowych środków trwałych – technika bezpośredniego oglądu</w:t>
      </w:r>
    </w:p>
    <w:p w14:paraId="63FC86D5" w14:textId="77777777" w:rsidR="00BC4F4C" w:rsidRDefault="0082648F">
      <w:pPr>
        <w:pStyle w:val="Standard"/>
        <w:numPr>
          <w:ilvl w:val="0"/>
          <w:numId w:val="22"/>
        </w:numPr>
        <w:spacing w:after="0" w:line="360" w:lineRule="auto"/>
        <w:jc w:val="both"/>
      </w:pPr>
      <w:r>
        <w:lastRenderedPageBreak/>
        <w:t>Wycena – prawidłowość ujęcia w księgach rachunkowych wartości zwiększeń i zmniejszeń rzeczowych środków trwałych – technika obliczenia</w:t>
      </w:r>
    </w:p>
    <w:p w14:paraId="69CD83DA" w14:textId="77777777" w:rsidR="00BC4F4C" w:rsidRDefault="0082648F">
      <w:pPr>
        <w:pStyle w:val="Standard"/>
        <w:numPr>
          <w:ilvl w:val="0"/>
          <w:numId w:val="22"/>
        </w:numPr>
        <w:spacing w:after="0" w:line="360" w:lineRule="auto"/>
        <w:jc w:val="both"/>
      </w:pPr>
      <w:r>
        <w:t>Wycena – uzgodnienie kosztów amortyzacji ujętej w rachunku zysków i strat z wartością odpisów amortyzacyjnych dokonanych w badanym okresie sprawozdawczym – technika obliczenia</w:t>
      </w:r>
    </w:p>
    <w:p w14:paraId="0C48204F" w14:textId="77777777" w:rsidR="00BC4F4C" w:rsidRDefault="0082648F">
      <w:pPr>
        <w:pStyle w:val="Standard"/>
        <w:numPr>
          <w:ilvl w:val="0"/>
          <w:numId w:val="22"/>
        </w:numPr>
        <w:spacing w:after="0" w:line="360" w:lineRule="auto"/>
        <w:jc w:val="both"/>
      </w:pPr>
      <w:r>
        <w:t>Wycena – analiza przesłanek mogących świadczyć o utracie wartości przez poszczególne składniki rzeczowych środków trwałych</w:t>
      </w:r>
      <w:r>
        <w:tab/>
        <w:t>- technika obserwacji i zapytania, obliczenia</w:t>
      </w:r>
    </w:p>
    <w:p w14:paraId="460C2F92" w14:textId="77777777" w:rsidR="00BC4F4C" w:rsidRDefault="0082648F">
      <w:pPr>
        <w:pStyle w:val="Standard"/>
        <w:numPr>
          <w:ilvl w:val="0"/>
          <w:numId w:val="22"/>
        </w:numPr>
        <w:spacing w:after="0" w:line="360" w:lineRule="auto"/>
        <w:jc w:val="both"/>
      </w:pPr>
      <w:r>
        <w:t>Badanie kompletności – kompletność ujęcia w rachunku zysków i strat badanego okresu kosztów napraw i remontów poniesionych przez jednostkę oraz ich prawidłowa kwalifikacja – technika analizy</w:t>
      </w:r>
    </w:p>
    <w:p w14:paraId="5C89C8B5" w14:textId="77777777" w:rsidR="00BC4F4C" w:rsidRDefault="0082648F">
      <w:pPr>
        <w:pStyle w:val="Standard"/>
        <w:numPr>
          <w:ilvl w:val="0"/>
          <w:numId w:val="22"/>
        </w:numPr>
        <w:spacing w:after="0" w:line="360" w:lineRule="auto"/>
        <w:jc w:val="both"/>
      </w:pPr>
      <w:r>
        <w:t>Badanie kompletności leasingów oraz ich podział na część długo</w:t>
      </w:r>
      <w:r w:rsidR="00EA11E1">
        <w:t>-</w:t>
      </w:r>
      <w:r>
        <w:t xml:space="preserve"> i krótkoterminową – technika analizy</w:t>
      </w:r>
    </w:p>
    <w:p w14:paraId="2CE5AB56" w14:textId="77777777" w:rsidR="00BC4F4C" w:rsidRDefault="0082648F">
      <w:pPr>
        <w:pStyle w:val="Standard"/>
        <w:numPr>
          <w:ilvl w:val="0"/>
          <w:numId w:val="22"/>
        </w:numPr>
        <w:spacing w:after="0" w:line="360" w:lineRule="auto"/>
        <w:jc w:val="both"/>
      </w:pPr>
      <w:r>
        <w:t xml:space="preserve">Badanie zwiększeń i zmniejszeń środków trwałych w budowie, ich prawidłowego ujęcia </w:t>
      </w:r>
      <w:r>
        <w:br/>
        <w:t>w księgach rachunkowych – technika analizy</w:t>
      </w:r>
    </w:p>
    <w:p w14:paraId="01EAC515" w14:textId="77777777" w:rsidR="00BC4F4C" w:rsidRDefault="0082648F">
      <w:pPr>
        <w:pStyle w:val="Standard"/>
        <w:numPr>
          <w:ilvl w:val="0"/>
          <w:numId w:val="22"/>
        </w:numPr>
        <w:spacing w:after="0" w:line="360" w:lineRule="auto"/>
        <w:jc w:val="both"/>
      </w:pPr>
      <w:r>
        <w:t>Weryfikacja zabezpieczeń ustanowionych na majątku badanej jednostki – technika wywiadu i analizy</w:t>
      </w:r>
      <w:r>
        <w:tab/>
      </w:r>
    </w:p>
    <w:p w14:paraId="26976B01" w14:textId="77777777" w:rsidR="00BC4F4C" w:rsidRDefault="0082648F">
      <w:pPr>
        <w:pStyle w:val="Standard"/>
        <w:numPr>
          <w:ilvl w:val="0"/>
          <w:numId w:val="22"/>
        </w:numPr>
        <w:spacing w:after="0" w:line="360" w:lineRule="auto"/>
        <w:jc w:val="both"/>
      </w:pPr>
      <w:r>
        <w:t xml:space="preserve">Weryfikacja prawidłowości ujęcia w księgach rachunkowych wartości zwiększeń </w:t>
      </w:r>
      <w:r>
        <w:br/>
        <w:t>i zmniejszeń rzeczowych środków trwałych na przestrzeni lat obrotowych – technika analiz</w:t>
      </w:r>
      <w:r w:rsidR="00EA11E1">
        <w:t>y</w:t>
      </w:r>
    </w:p>
    <w:p w14:paraId="19F0DDEF" w14:textId="77777777" w:rsidR="00BC4F4C" w:rsidRDefault="0082648F">
      <w:pPr>
        <w:pStyle w:val="Standard"/>
        <w:numPr>
          <w:ilvl w:val="0"/>
          <w:numId w:val="22"/>
        </w:numPr>
        <w:spacing w:after="0" w:line="360" w:lineRule="auto"/>
        <w:jc w:val="both"/>
      </w:pPr>
      <w:r>
        <w:t xml:space="preserve">Analiza prawidłowości naliczenia, ujęcia oraz odprowadzenia podatków związanych </w:t>
      </w:r>
      <w:r>
        <w:br/>
        <w:t>z pozycjami środków trwałych – technika analizy</w:t>
      </w:r>
    </w:p>
    <w:p w14:paraId="487ED8C4" w14:textId="77777777" w:rsidR="00BC4F4C" w:rsidRDefault="0082648F">
      <w:pPr>
        <w:pStyle w:val="Standard"/>
        <w:spacing w:after="0" w:line="360" w:lineRule="auto"/>
        <w:ind w:left="709"/>
        <w:jc w:val="both"/>
      </w:pPr>
      <w:r>
        <w:tab/>
      </w:r>
    </w:p>
    <w:p w14:paraId="454EA0DC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747DE099" w14:textId="77777777" w:rsidR="00BC4F4C" w:rsidRDefault="00BC4F4C">
      <w:pPr>
        <w:pStyle w:val="Standard"/>
        <w:spacing w:after="0" w:line="360" w:lineRule="auto"/>
        <w:jc w:val="both"/>
        <w:rPr>
          <w:i/>
          <w:u w:val="single"/>
        </w:rPr>
      </w:pPr>
    </w:p>
    <w:p w14:paraId="1C1E5521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należności długoterminowych</w:t>
      </w:r>
    </w:p>
    <w:p w14:paraId="52B49D17" w14:textId="77777777" w:rsidR="00BC4F4C" w:rsidRDefault="0082648F">
      <w:pPr>
        <w:pStyle w:val="Standard"/>
        <w:spacing w:after="0" w:line="360" w:lineRule="auto"/>
        <w:jc w:val="both"/>
      </w:pPr>
      <w:r>
        <w:t>W celu weryfikacji salda pozycji należności długoterminowych należy przeprowadzić niżej wskazane procedury badawcze:</w:t>
      </w:r>
    </w:p>
    <w:p w14:paraId="75FB6DD8" w14:textId="77777777" w:rsidR="00BC4F4C" w:rsidRDefault="0082648F">
      <w:pPr>
        <w:pStyle w:val="Standard"/>
        <w:numPr>
          <w:ilvl w:val="0"/>
          <w:numId w:val="23"/>
        </w:numPr>
        <w:spacing w:after="0" w:line="360" w:lineRule="auto"/>
        <w:jc w:val="both"/>
      </w:pPr>
      <w:r>
        <w:t>Uzgodnienie analityki z syntetyką oraz pozycjami sprawozdania finansowego – technika analiz</w:t>
      </w:r>
    </w:p>
    <w:p w14:paraId="49B1E64A" w14:textId="77777777" w:rsidR="00BC4F4C" w:rsidRDefault="0082648F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t>Potwierdzenie istnienia poszczególnych składników należności długoterminowych – technika wywiadu i analiz</w:t>
      </w:r>
    </w:p>
    <w:p w14:paraId="48DC713C" w14:textId="77777777" w:rsidR="00BC4F4C" w:rsidRDefault="0082648F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t>Wycena – prawidłowości ujęcia w księgach rachunkowych należności długoterminowych – technika obliczenia</w:t>
      </w:r>
    </w:p>
    <w:p w14:paraId="4BF0E828" w14:textId="77777777" w:rsidR="00BC4F4C" w:rsidRDefault="0082648F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t>Wycena - weryfikacja utraty wartości należności długoterminowych na dzień bilansowy – technika wywiadu i obliczenia</w:t>
      </w:r>
    </w:p>
    <w:p w14:paraId="74072CCE" w14:textId="7E6DABB2" w:rsidR="00BC4F4C" w:rsidRDefault="0082648F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t>Weryfikacja prawidłowości</w:t>
      </w:r>
      <w:r w:rsidR="00DE006C">
        <w:t xml:space="preserve"> </w:t>
      </w:r>
      <w:r>
        <w:t>prezentacj</w:t>
      </w:r>
      <w:r w:rsidR="00DE006C">
        <w:t>i</w:t>
      </w:r>
      <w:r>
        <w:t xml:space="preserve"> należności długoterminowych na dzień bilansowy – technika analiz</w:t>
      </w:r>
    </w:p>
    <w:p w14:paraId="524ED8B7" w14:textId="77777777" w:rsidR="00BC4F4C" w:rsidRDefault="00BC4F4C">
      <w:pPr>
        <w:pStyle w:val="Standard"/>
        <w:spacing w:after="0" w:line="360" w:lineRule="auto"/>
        <w:jc w:val="both"/>
      </w:pPr>
    </w:p>
    <w:p w14:paraId="35DCC451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7164171D" w14:textId="77777777" w:rsidR="00BC4F4C" w:rsidRDefault="00BC4F4C">
      <w:pPr>
        <w:pStyle w:val="Standard"/>
        <w:spacing w:after="0" w:line="360" w:lineRule="auto"/>
        <w:jc w:val="both"/>
      </w:pPr>
    </w:p>
    <w:p w14:paraId="27D79C83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inwestycji długoterminowych</w:t>
      </w:r>
    </w:p>
    <w:p w14:paraId="159C1380" w14:textId="77777777" w:rsidR="00BC4F4C" w:rsidRDefault="0082648F">
      <w:pPr>
        <w:pStyle w:val="Standard"/>
        <w:spacing w:after="0" w:line="360" w:lineRule="auto"/>
        <w:jc w:val="both"/>
      </w:pPr>
      <w:r>
        <w:t>W celu weryfikacji salda pozycji inwestycji długoterminowych należy przeprowadzić niżej wskazane procedury badawcze:</w:t>
      </w:r>
    </w:p>
    <w:p w14:paraId="1FA4DB09" w14:textId="5060BEAE" w:rsidR="00BC4F4C" w:rsidRDefault="0082648F">
      <w:pPr>
        <w:pStyle w:val="Standard"/>
        <w:numPr>
          <w:ilvl w:val="0"/>
          <w:numId w:val="24"/>
        </w:numPr>
        <w:spacing w:after="0" w:line="360" w:lineRule="auto"/>
        <w:jc w:val="both"/>
      </w:pPr>
      <w:r>
        <w:t xml:space="preserve">Uzgodnienie analityki z syntetyką oraz pozycjami sprawozdania finansowego - technika analiz </w:t>
      </w:r>
      <w:r>
        <w:tab/>
      </w:r>
    </w:p>
    <w:p w14:paraId="1273B154" w14:textId="77777777" w:rsidR="00BC4F4C" w:rsidRDefault="0082648F">
      <w:pPr>
        <w:pStyle w:val="Standard"/>
        <w:numPr>
          <w:ilvl w:val="0"/>
          <w:numId w:val="5"/>
        </w:numPr>
        <w:spacing w:after="0" w:line="360" w:lineRule="auto"/>
        <w:jc w:val="both"/>
      </w:pPr>
      <w:r>
        <w:t>Wycena brutto – ustalenie sposobu wyceny inwestycji długoterminowych na dzień bilansowy – technika obliczenia</w:t>
      </w:r>
    </w:p>
    <w:p w14:paraId="7B669ACF" w14:textId="77777777" w:rsidR="00BC4F4C" w:rsidRDefault="0082648F">
      <w:pPr>
        <w:pStyle w:val="Standard"/>
        <w:numPr>
          <w:ilvl w:val="0"/>
          <w:numId w:val="5"/>
        </w:numPr>
        <w:spacing w:after="0" w:line="360" w:lineRule="auto"/>
        <w:jc w:val="both"/>
      </w:pPr>
      <w:r>
        <w:t>Wycena netto – weryfikacja utraty wartości inwestycji długoterminowych na dzień bilansowy – technika wywiadu i obliczenia</w:t>
      </w:r>
    </w:p>
    <w:p w14:paraId="2A4DF95A" w14:textId="2A7FEC28" w:rsidR="00BC4F4C" w:rsidRDefault="0082648F">
      <w:pPr>
        <w:pStyle w:val="Standard"/>
        <w:numPr>
          <w:ilvl w:val="0"/>
          <w:numId w:val="5"/>
        </w:numPr>
        <w:spacing w:after="0" w:line="360" w:lineRule="auto"/>
        <w:jc w:val="both"/>
      </w:pPr>
      <w:r>
        <w:t>Weryfikacja prawidłowości prezentacj</w:t>
      </w:r>
      <w:r w:rsidR="00DE006C">
        <w:t>i</w:t>
      </w:r>
      <w:r>
        <w:t xml:space="preserve"> inwestycji długoterminowych na dzień bilansowy – technika analiz</w:t>
      </w:r>
    </w:p>
    <w:p w14:paraId="0C63B8CE" w14:textId="77777777" w:rsidR="00BC4F4C" w:rsidRDefault="00BC4F4C">
      <w:pPr>
        <w:pStyle w:val="Standard"/>
        <w:spacing w:after="0" w:line="360" w:lineRule="auto"/>
        <w:jc w:val="both"/>
      </w:pPr>
    </w:p>
    <w:p w14:paraId="68B578C5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14E717C7" w14:textId="77777777" w:rsidR="00BC4F4C" w:rsidRDefault="00BC4F4C">
      <w:pPr>
        <w:pStyle w:val="Standard"/>
        <w:spacing w:after="0" w:line="360" w:lineRule="auto"/>
        <w:jc w:val="both"/>
      </w:pPr>
    </w:p>
    <w:p w14:paraId="0087EA97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zapasów</w:t>
      </w:r>
    </w:p>
    <w:p w14:paraId="793F464B" w14:textId="77777777" w:rsidR="00BC4F4C" w:rsidRDefault="0082648F">
      <w:pPr>
        <w:pStyle w:val="Standard"/>
        <w:spacing w:after="0" w:line="360" w:lineRule="auto"/>
        <w:jc w:val="both"/>
      </w:pPr>
      <w:r>
        <w:t>W celu weryfikacji salda pozycji wartości niematerialnych i prawnych należy przeprowadzić niżej wskazane procedury badawcze:</w:t>
      </w:r>
    </w:p>
    <w:p w14:paraId="0B78A83B" w14:textId="77777777" w:rsidR="00BC4F4C" w:rsidRDefault="0082648F">
      <w:pPr>
        <w:pStyle w:val="Standard"/>
        <w:numPr>
          <w:ilvl w:val="0"/>
          <w:numId w:val="25"/>
        </w:numPr>
        <w:spacing w:after="0" w:line="360" w:lineRule="auto"/>
        <w:jc w:val="both"/>
      </w:pPr>
      <w:r>
        <w:t>Uzgodnienie analityki z syntetyką oraz pozycjami sprawozdania finansowego – technika analiz</w:t>
      </w:r>
    </w:p>
    <w:p w14:paraId="2EDA9D8D" w14:textId="77777777" w:rsidR="00BC4F4C" w:rsidRDefault="0082648F">
      <w:pPr>
        <w:pStyle w:val="Standard"/>
        <w:numPr>
          <w:ilvl w:val="0"/>
          <w:numId w:val="25"/>
        </w:numPr>
        <w:spacing w:after="0" w:line="360" w:lineRule="auto"/>
        <w:jc w:val="both"/>
      </w:pPr>
      <w:r>
        <w:t>Uzgodnienie zestawienie obrotów i sald na dzień bilansowy do ewidencji magazynowej na dzień bilansowy – technika analiz</w:t>
      </w:r>
    </w:p>
    <w:p w14:paraId="13DAF3F5" w14:textId="77777777" w:rsidR="00BC4F4C" w:rsidRDefault="0082648F">
      <w:pPr>
        <w:pStyle w:val="Standard"/>
        <w:numPr>
          <w:ilvl w:val="0"/>
          <w:numId w:val="25"/>
        </w:numPr>
        <w:spacing w:after="0" w:line="360" w:lineRule="auto"/>
        <w:jc w:val="both"/>
      </w:pPr>
      <w:r>
        <w:t>Ustalenie struktury zapasów wykazanych w sprawozdaniu finansowym – technika analiz</w:t>
      </w:r>
    </w:p>
    <w:p w14:paraId="51CDA74A" w14:textId="77777777" w:rsidR="00BC4F4C" w:rsidRDefault="0082648F">
      <w:pPr>
        <w:pStyle w:val="Standard"/>
        <w:numPr>
          <w:ilvl w:val="0"/>
          <w:numId w:val="25"/>
        </w:numPr>
        <w:spacing w:after="0" w:line="360" w:lineRule="auto"/>
        <w:jc w:val="both"/>
      </w:pPr>
      <w:r>
        <w:t>Potwierdzenie istnienia poszczególnych składników zapasów – technika sprawdzenia i analiz</w:t>
      </w:r>
    </w:p>
    <w:p w14:paraId="59979EF1" w14:textId="77777777" w:rsidR="00BC4F4C" w:rsidRDefault="0082648F">
      <w:pPr>
        <w:pStyle w:val="Standard"/>
        <w:numPr>
          <w:ilvl w:val="0"/>
          <w:numId w:val="25"/>
        </w:numPr>
        <w:spacing w:after="0" w:line="360" w:lineRule="auto"/>
        <w:jc w:val="both"/>
      </w:pPr>
      <w:r>
        <w:t>Ustalenie stopnia zaawansowania produkcji w toku – technika obliczenia</w:t>
      </w:r>
    </w:p>
    <w:p w14:paraId="28B97452" w14:textId="0893974C" w:rsidR="00BC4F4C" w:rsidRDefault="0082648F">
      <w:pPr>
        <w:pStyle w:val="Standard"/>
        <w:numPr>
          <w:ilvl w:val="0"/>
          <w:numId w:val="25"/>
        </w:numPr>
        <w:spacing w:after="0" w:line="360" w:lineRule="auto"/>
        <w:jc w:val="both"/>
      </w:pPr>
      <w:r>
        <w:t>Wycena brutto – weryfikacja stosowanych cen do wyceny bilansowej - technika obliczenia</w:t>
      </w:r>
    </w:p>
    <w:p w14:paraId="6DB02F6C" w14:textId="77777777" w:rsidR="00BC4F4C" w:rsidRDefault="0082648F">
      <w:pPr>
        <w:pStyle w:val="Standard"/>
        <w:numPr>
          <w:ilvl w:val="0"/>
          <w:numId w:val="25"/>
        </w:numPr>
        <w:spacing w:after="0" w:line="360" w:lineRule="auto"/>
        <w:jc w:val="both"/>
      </w:pPr>
      <w:r>
        <w:t>Wycena netto – weryfikacja stosowanych cen sprzedaży – technika obliczenia i sprawdzenia</w:t>
      </w:r>
    </w:p>
    <w:p w14:paraId="1B1846EF" w14:textId="77777777" w:rsidR="00BC4F4C" w:rsidRDefault="0082648F">
      <w:pPr>
        <w:pStyle w:val="Standard"/>
        <w:numPr>
          <w:ilvl w:val="0"/>
          <w:numId w:val="25"/>
        </w:numPr>
        <w:spacing w:after="0" w:line="360" w:lineRule="auto"/>
        <w:jc w:val="both"/>
      </w:pPr>
      <w:r>
        <w:t xml:space="preserve">Wycena – analiza przesłanek mogących świadczyć o utracie wartości przez poszczególne składniki zapasów – technika wywiadu i obliczenia </w:t>
      </w:r>
      <w:r>
        <w:tab/>
      </w:r>
    </w:p>
    <w:p w14:paraId="0D660CAE" w14:textId="77777777" w:rsidR="00BC4F4C" w:rsidRDefault="0082648F">
      <w:pPr>
        <w:pStyle w:val="Standard"/>
        <w:numPr>
          <w:ilvl w:val="0"/>
          <w:numId w:val="25"/>
        </w:numPr>
        <w:spacing w:after="0" w:line="360" w:lineRule="auto"/>
        <w:jc w:val="both"/>
      </w:pPr>
      <w:r>
        <w:t xml:space="preserve">Weryfikacja zabezpieczeń ustanowionych na majątku badanej jednostki – technika wywiadu i analiz </w:t>
      </w:r>
      <w:r>
        <w:tab/>
      </w:r>
    </w:p>
    <w:p w14:paraId="1F011820" w14:textId="77777777" w:rsidR="00BC4F4C" w:rsidRDefault="0082648F">
      <w:pPr>
        <w:pStyle w:val="Standard"/>
        <w:numPr>
          <w:ilvl w:val="0"/>
          <w:numId w:val="25"/>
        </w:numPr>
        <w:spacing w:after="0" w:line="360" w:lineRule="auto"/>
        <w:jc w:val="both"/>
      </w:pPr>
      <w:r>
        <w:lastRenderedPageBreak/>
        <w:t>Kompletność ujęcia – weryfikacja prawidłowości ujęcia w księgach rachunkowych wartości zwiększeń i zmniejszeń zapasów na przestrzeni lat obrotowych – technika analiz</w:t>
      </w:r>
      <w:r>
        <w:tab/>
      </w:r>
      <w:r>
        <w:tab/>
      </w:r>
    </w:p>
    <w:p w14:paraId="08073DD9" w14:textId="77777777" w:rsidR="00BC4F4C" w:rsidRDefault="00BC4F4C">
      <w:pPr>
        <w:pStyle w:val="Standard"/>
        <w:spacing w:after="0" w:line="360" w:lineRule="auto"/>
        <w:jc w:val="both"/>
      </w:pPr>
    </w:p>
    <w:p w14:paraId="18DC667B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5A543C72" w14:textId="77777777" w:rsidR="00BC4F4C" w:rsidRDefault="00BC4F4C">
      <w:pPr>
        <w:pStyle w:val="Standard"/>
        <w:spacing w:after="0" w:line="360" w:lineRule="auto"/>
        <w:jc w:val="both"/>
      </w:pPr>
    </w:p>
    <w:p w14:paraId="6C9FD15B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należności handlowych</w:t>
      </w:r>
    </w:p>
    <w:p w14:paraId="4A2F7822" w14:textId="77777777" w:rsidR="00BC4F4C" w:rsidRDefault="0082648F">
      <w:pPr>
        <w:pStyle w:val="Standard"/>
        <w:spacing w:after="0" w:line="360" w:lineRule="auto"/>
        <w:jc w:val="both"/>
      </w:pPr>
      <w:r>
        <w:t>W celu weryfikacji salda pozycji należności handlowych należy przeprowadzić niżej wskazane procedury badawcze:</w:t>
      </w:r>
    </w:p>
    <w:p w14:paraId="1A2095BB" w14:textId="77777777" w:rsidR="00BC4F4C" w:rsidRDefault="0082648F">
      <w:pPr>
        <w:pStyle w:val="Standard"/>
        <w:numPr>
          <w:ilvl w:val="0"/>
          <w:numId w:val="26"/>
        </w:numPr>
        <w:spacing w:after="0" w:line="360" w:lineRule="auto"/>
        <w:jc w:val="both"/>
      </w:pPr>
      <w:r>
        <w:t>Uzgodnienie analityki z syntetyką oraz pozycjami sprawozdania finansowego – technika analiz</w:t>
      </w:r>
    </w:p>
    <w:p w14:paraId="6F1CF78E" w14:textId="77777777" w:rsidR="00BC4F4C" w:rsidRDefault="0082648F">
      <w:pPr>
        <w:pStyle w:val="Standard"/>
        <w:numPr>
          <w:ilvl w:val="0"/>
          <w:numId w:val="26"/>
        </w:numPr>
        <w:spacing w:after="0" w:line="360" w:lineRule="auto"/>
        <w:jc w:val="both"/>
      </w:pPr>
      <w:r>
        <w:t>Wiekowanie – uzgodnienie wiekowania do zestawienia obrotów i sald na dzień bilansowy, sprawdzenie poprawności wiekowania, analiza wiekowania – technika analiz i obliczenia</w:t>
      </w:r>
    </w:p>
    <w:p w14:paraId="4551ED82" w14:textId="77777777" w:rsidR="00BC4F4C" w:rsidRDefault="0082648F">
      <w:pPr>
        <w:pStyle w:val="Standard"/>
        <w:numPr>
          <w:ilvl w:val="0"/>
          <w:numId w:val="26"/>
        </w:numPr>
        <w:spacing w:after="0" w:line="360" w:lineRule="auto"/>
        <w:jc w:val="both"/>
      </w:pPr>
      <w:r>
        <w:t>Odpisy aktualizujące – weryfikacja prawidłowości naliczenia odpisów aktualizujących wartość należności handlowych na dzień bilansowy w odniesieniu do zasad zapisanych w polityce rachunkowości jednostki, prawidłowość ujęcia odpisów w księgach rachunkowych, weryfikacja zmiany wartości aktualizujących w roku badanym do roku poprzedniego i ich ujęcia w przychodach i kosztach jednostki – technika wywiadu, analiz i obliczenia</w:t>
      </w:r>
    </w:p>
    <w:p w14:paraId="731175DB" w14:textId="77777777" w:rsidR="00BC4F4C" w:rsidRDefault="0082648F">
      <w:pPr>
        <w:pStyle w:val="Standard"/>
        <w:numPr>
          <w:ilvl w:val="0"/>
          <w:numId w:val="26"/>
        </w:numPr>
        <w:spacing w:after="0" w:line="360" w:lineRule="auto"/>
        <w:jc w:val="both"/>
      </w:pPr>
      <w:r>
        <w:t>Analiza listu od prawnika pod kątem sporów w zakresie należności handlowych i konieczności utworzenia odpisu aktualizacyjnego – technika analiz i wywiadu</w:t>
      </w:r>
    </w:p>
    <w:p w14:paraId="7FE34665" w14:textId="77777777" w:rsidR="00BC4F4C" w:rsidRDefault="0082648F">
      <w:pPr>
        <w:pStyle w:val="Standard"/>
        <w:numPr>
          <w:ilvl w:val="0"/>
          <w:numId w:val="26"/>
        </w:numPr>
        <w:spacing w:after="0" w:line="360" w:lineRule="auto"/>
        <w:jc w:val="both"/>
      </w:pPr>
      <w:r>
        <w:t>Istnienie – badanie istnienia należności handlowych w drodze niezależnego potwierdzenia sald z kontrahentami – technika wywiadu i analiz</w:t>
      </w:r>
    </w:p>
    <w:p w14:paraId="4D108A00" w14:textId="77777777" w:rsidR="00BC4F4C" w:rsidRDefault="0082648F">
      <w:pPr>
        <w:pStyle w:val="Standard"/>
        <w:numPr>
          <w:ilvl w:val="0"/>
          <w:numId w:val="26"/>
        </w:numPr>
        <w:spacing w:after="0" w:line="360" w:lineRule="auto"/>
        <w:jc w:val="both"/>
      </w:pPr>
      <w:r>
        <w:t>Wycena walutowa – badanie prawidłowości zastosowanych kursów walut do wyceny należności handlowych oraz ujęcia w księgach rachunkowych powstałych różnic kursowych – technika obliczenia</w:t>
      </w:r>
    </w:p>
    <w:p w14:paraId="0E8AFED7" w14:textId="77777777" w:rsidR="00BC4F4C" w:rsidRDefault="0082648F">
      <w:pPr>
        <w:pStyle w:val="Standard"/>
        <w:numPr>
          <w:ilvl w:val="0"/>
          <w:numId w:val="26"/>
        </w:numPr>
        <w:spacing w:after="0" w:line="360" w:lineRule="auto"/>
        <w:jc w:val="both"/>
      </w:pPr>
      <w:r>
        <w:t xml:space="preserve">Badanie transakcji z jednostkami powiązanymi, weryfikacja prawidłowości ich wyceny </w:t>
      </w:r>
      <w:r>
        <w:br/>
        <w:t>i prezentacji w sprawozdaniu finansowym – technika analiz i wywiadu</w:t>
      </w:r>
    </w:p>
    <w:p w14:paraId="055F339C" w14:textId="77777777" w:rsidR="00BC4F4C" w:rsidRDefault="00BC4F4C">
      <w:pPr>
        <w:pStyle w:val="Standard"/>
        <w:spacing w:after="0" w:line="360" w:lineRule="auto"/>
        <w:jc w:val="both"/>
      </w:pPr>
    </w:p>
    <w:p w14:paraId="304B8F4F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5DC5A6E9" w14:textId="77777777" w:rsidR="00BC4F4C" w:rsidRDefault="00BC4F4C">
      <w:pPr>
        <w:pStyle w:val="Standard"/>
        <w:spacing w:after="0" w:line="360" w:lineRule="auto"/>
        <w:jc w:val="both"/>
      </w:pPr>
    </w:p>
    <w:p w14:paraId="02A110FD" w14:textId="211FED24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 xml:space="preserve">Obszar należności/zobowiązań </w:t>
      </w:r>
      <w:proofErr w:type="spellStart"/>
      <w:r>
        <w:rPr>
          <w:i/>
          <w:u w:val="single"/>
        </w:rPr>
        <w:t>publiczno</w:t>
      </w:r>
      <w:proofErr w:type="spellEnd"/>
      <w:r>
        <w:rPr>
          <w:i/>
          <w:u w:val="single"/>
        </w:rPr>
        <w:t xml:space="preserve"> – prawnych w zakresie wynagrodzeń</w:t>
      </w:r>
    </w:p>
    <w:p w14:paraId="7815734D" w14:textId="77777777" w:rsidR="00BC4F4C" w:rsidRDefault="0082648F">
      <w:pPr>
        <w:pStyle w:val="Standard"/>
        <w:spacing w:after="0" w:line="360" w:lineRule="auto"/>
        <w:jc w:val="both"/>
      </w:pPr>
      <w:r>
        <w:t>W celu weryfikacji salda pozycji należności/zobowiązań publiczno – prawnych w zakresie wynagrodzeń należy przeprowadzić niżej wskazane procedury badawcze:</w:t>
      </w:r>
    </w:p>
    <w:p w14:paraId="69F5566C" w14:textId="77777777" w:rsidR="00BC4F4C" w:rsidRDefault="0082648F">
      <w:pPr>
        <w:pStyle w:val="Standard"/>
        <w:numPr>
          <w:ilvl w:val="0"/>
          <w:numId w:val="27"/>
        </w:numPr>
        <w:spacing w:after="0" w:line="360" w:lineRule="auto"/>
        <w:jc w:val="both"/>
      </w:pPr>
      <w:r>
        <w:t>Uzgodnienie analityki z syntetyką oraz pozycjami sprawozdania finansowego – technika analiz</w:t>
      </w:r>
    </w:p>
    <w:p w14:paraId="04014AF9" w14:textId="0BE6915E" w:rsidR="00BC4F4C" w:rsidRDefault="0082648F">
      <w:pPr>
        <w:pStyle w:val="Standard"/>
        <w:numPr>
          <w:ilvl w:val="0"/>
          <w:numId w:val="27"/>
        </w:numPr>
        <w:spacing w:after="0" w:line="360" w:lineRule="auto"/>
        <w:jc w:val="both"/>
      </w:pPr>
      <w:r>
        <w:t>Identyfikacja wszystkich kont dotycząc</w:t>
      </w:r>
      <w:r w:rsidR="00350C5D">
        <w:t>ych</w:t>
      </w:r>
      <w:r>
        <w:t xml:space="preserve"> rozliczeń z pracownikami – technika wywiadu</w:t>
      </w:r>
    </w:p>
    <w:p w14:paraId="40A5EED9" w14:textId="77777777" w:rsidR="00BC4F4C" w:rsidRDefault="0082648F">
      <w:pPr>
        <w:pStyle w:val="Standard"/>
        <w:numPr>
          <w:ilvl w:val="0"/>
          <w:numId w:val="27"/>
        </w:numPr>
        <w:spacing w:after="0" w:line="360" w:lineRule="auto"/>
        <w:jc w:val="both"/>
      </w:pPr>
      <w:r>
        <w:lastRenderedPageBreak/>
        <w:t>Zestawienie tytułów rezerw, sald zobowiązań oraz kwoty na dzień bilansowy i za analogiczny okres, porównanie kwoty i ocena zaistniałych zmian – technika analiz i obliczenia</w:t>
      </w:r>
    </w:p>
    <w:p w14:paraId="38C8E41B" w14:textId="77777777" w:rsidR="00BC4F4C" w:rsidRDefault="0082648F">
      <w:pPr>
        <w:pStyle w:val="Standard"/>
        <w:numPr>
          <w:ilvl w:val="0"/>
          <w:numId w:val="27"/>
        </w:numPr>
        <w:spacing w:after="0" w:line="360" w:lineRule="auto"/>
        <w:jc w:val="both"/>
      </w:pPr>
      <w:r>
        <w:t>Przegląd dokumentacji pracowniczej – technika analiz i wywiadu</w:t>
      </w:r>
    </w:p>
    <w:p w14:paraId="0DE3C185" w14:textId="77777777" w:rsidR="00BC4F4C" w:rsidRDefault="0082648F">
      <w:pPr>
        <w:pStyle w:val="Standard"/>
        <w:numPr>
          <w:ilvl w:val="0"/>
          <w:numId w:val="27"/>
        </w:numPr>
        <w:spacing w:after="0" w:line="360" w:lineRule="auto"/>
        <w:jc w:val="both"/>
      </w:pPr>
      <w:r>
        <w:t>Przegląd protokołów kontrolnych/decyzji pokontrolnych - identyfikacja tytułów do ujęcia jako rezerwy – technika analiz i wywiadu</w:t>
      </w:r>
    </w:p>
    <w:p w14:paraId="7583B965" w14:textId="77777777" w:rsidR="00BC4F4C" w:rsidRDefault="0082648F">
      <w:pPr>
        <w:pStyle w:val="Standard"/>
        <w:numPr>
          <w:ilvl w:val="0"/>
          <w:numId w:val="27"/>
        </w:numPr>
        <w:spacing w:after="0" w:line="360" w:lineRule="auto"/>
        <w:jc w:val="both"/>
      </w:pPr>
      <w:r>
        <w:t>Przegląd analityczny kosztów wynagrodzeń – technika analiz i wywiadu</w:t>
      </w:r>
    </w:p>
    <w:p w14:paraId="596C4CBA" w14:textId="276378A6" w:rsidR="00BC4F4C" w:rsidRDefault="0082648F">
      <w:pPr>
        <w:pStyle w:val="Standard"/>
        <w:numPr>
          <w:ilvl w:val="0"/>
          <w:numId w:val="27"/>
        </w:numPr>
        <w:spacing w:after="0" w:line="360" w:lineRule="auto"/>
        <w:jc w:val="both"/>
      </w:pPr>
      <w:r>
        <w:t>Przegląd analityczny kosztów ubezpieczeń społecznych w poszczególnych miesiącach, analiza czy % udziału kosztów ubezpieczeń w kosztach wynagrodzeń jest racjonalny – technika analiz i wywiadu</w:t>
      </w:r>
    </w:p>
    <w:p w14:paraId="2AC87149" w14:textId="77777777" w:rsidR="00BC4F4C" w:rsidRDefault="0082648F">
      <w:pPr>
        <w:pStyle w:val="Standard"/>
        <w:numPr>
          <w:ilvl w:val="0"/>
          <w:numId w:val="27"/>
        </w:numPr>
        <w:spacing w:after="0" w:line="360" w:lineRule="auto"/>
        <w:jc w:val="both"/>
      </w:pPr>
      <w:r>
        <w:t>Uzgodnienie kalkulacji rezerw pracowniczych dokonanej przez jednostkę do księgi głównej – technika analiz</w:t>
      </w:r>
    </w:p>
    <w:p w14:paraId="66AEBEB5" w14:textId="77777777" w:rsidR="00BC4F4C" w:rsidRDefault="0082648F">
      <w:pPr>
        <w:pStyle w:val="Standard"/>
        <w:numPr>
          <w:ilvl w:val="0"/>
          <w:numId w:val="27"/>
        </w:numPr>
        <w:spacing w:after="0" w:line="360" w:lineRule="auto"/>
        <w:jc w:val="both"/>
      </w:pPr>
      <w:r>
        <w:t>Ustalenie oczekiwanej wartość kosztu PFRON – technika analiz i obliczeń</w:t>
      </w:r>
    </w:p>
    <w:p w14:paraId="58D700A4" w14:textId="77777777" w:rsidR="00BC4F4C" w:rsidRDefault="00BC4F4C">
      <w:pPr>
        <w:pStyle w:val="Standard"/>
        <w:spacing w:after="0" w:line="360" w:lineRule="auto"/>
        <w:jc w:val="both"/>
      </w:pPr>
    </w:p>
    <w:p w14:paraId="4B407A14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03983DB1" w14:textId="77777777" w:rsidR="00BC4F4C" w:rsidRDefault="00BC4F4C">
      <w:pPr>
        <w:pStyle w:val="Standard"/>
        <w:spacing w:after="0" w:line="360" w:lineRule="auto"/>
        <w:jc w:val="both"/>
      </w:pPr>
    </w:p>
    <w:p w14:paraId="02835C69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inwestycji krótkoterminowych</w:t>
      </w:r>
    </w:p>
    <w:p w14:paraId="047CE8F6" w14:textId="77777777" w:rsidR="00BC4F4C" w:rsidRDefault="0082648F">
      <w:pPr>
        <w:pStyle w:val="Standard"/>
        <w:spacing w:after="0" w:line="360" w:lineRule="auto"/>
        <w:jc w:val="both"/>
      </w:pPr>
      <w:r>
        <w:t>W celu weryfikacji salda pozycji inwestycji krótkoterminowych należy przeprowadzić niżej wskazane procedury badawcze:</w:t>
      </w:r>
    </w:p>
    <w:p w14:paraId="4701DD6A" w14:textId="77777777" w:rsidR="00BC4F4C" w:rsidRDefault="0082648F">
      <w:pPr>
        <w:pStyle w:val="Standard"/>
        <w:numPr>
          <w:ilvl w:val="0"/>
          <w:numId w:val="28"/>
        </w:numPr>
        <w:spacing w:after="0" w:line="360" w:lineRule="auto"/>
        <w:jc w:val="both"/>
      </w:pPr>
      <w:r>
        <w:t>Uzgodnienie analityki z syntetyką oraz pozycjami sprawozdania finansowego – technika analiz</w:t>
      </w:r>
    </w:p>
    <w:p w14:paraId="2D98173F" w14:textId="77777777" w:rsidR="00BC4F4C" w:rsidRDefault="0082648F">
      <w:pPr>
        <w:pStyle w:val="Standard"/>
        <w:numPr>
          <w:ilvl w:val="0"/>
          <w:numId w:val="28"/>
        </w:numPr>
        <w:spacing w:after="0" w:line="360" w:lineRule="auto"/>
        <w:jc w:val="both"/>
      </w:pPr>
      <w:r>
        <w:t>Istnienie i wycena – potwierdzenie istnienia środków pieniężnych w kasie metodą weryfikacji sald wykazanych w sprawozdaniu finansowym z danymi pochodzącymi z protokołów inwentaryzacyjnych – technika analiz i sprawdzenia</w:t>
      </w:r>
    </w:p>
    <w:p w14:paraId="3EC09E15" w14:textId="77777777" w:rsidR="00BC4F4C" w:rsidRDefault="0082648F">
      <w:pPr>
        <w:pStyle w:val="Standard"/>
        <w:numPr>
          <w:ilvl w:val="0"/>
          <w:numId w:val="28"/>
        </w:numPr>
        <w:spacing w:after="0" w:line="360" w:lineRule="auto"/>
        <w:jc w:val="both"/>
      </w:pPr>
      <w:r>
        <w:t>Istnienie i wycena – potwierdzenie istnienia środków pieniężnych na rachunkach bankowych metodą niezależnego potwierdzenia sald – technika analiz i sprawdzenia</w:t>
      </w:r>
    </w:p>
    <w:p w14:paraId="7E7D6F6E" w14:textId="77777777" w:rsidR="00BC4F4C" w:rsidRDefault="0082648F">
      <w:pPr>
        <w:pStyle w:val="Standard"/>
        <w:numPr>
          <w:ilvl w:val="0"/>
          <w:numId w:val="28"/>
        </w:numPr>
        <w:spacing w:after="0" w:line="360" w:lineRule="auto"/>
        <w:jc w:val="both"/>
      </w:pPr>
      <w:r>
        <w:t>Wycena zgromadzonych na dzień bilansowy środków pieniężnych – technika obliczeń</w:t>
      </w:r>
    </w:p>
    <w:p w14:paraId="2D28CD11" w14:textId="77777777" w:rsidR="00BC4F4C" w:rsidRDefault="0082648F">
      <w:pPr>
        <w:pStyle w:val="Standard"/>
        <w:numPr>
          <w:ilvl w:val="0"/>
          <w:numId w:val="28"/>
        </w:numPr>
        <w:spacing w:after="0" w:line="360" w:lineRule="auto"/>
        <w:jc w:val="both"/>
      </w:pPr>
      <w:r>
        <w:t>Wycena walutowa zgromadzonych na dzień bilansowy środków pieniężnych, weryfikacja prawidłowości zastosowanego kursu oraz ujęcia różnic kursowych w księgach rachunkowych – technika obliczeń</w:t>
      </w:r>
    </w:p>
    <w:p w14:paraId="114FD3A1" w14:textId="77777777" w:rsidR="00BC4F4C" w:rsidRDefault="0082648F">
      <w:pPr>
        <w:pStyle w:val="Standard"/>
        <w:numPr>
          <w:ilvl w:val="0"/>
          <w:numId w:val="28"/>
        </w:numPr>
        <w:spacing w:after="0" w:line="360" w:lineRule="auto"/>
        <w:jc w:val="both"/>
      </w:pPr>
      <w:r>
        <w:t xml:space="preserve">Ustalenie praw i obowiązków jednostki o dysponowania środkami pieniężnymi – ustalenie, czy na posiadanych środkach pieniężnych ustalone są jakieś zabezpieczenia – technika analiz </w:t>
      </w:r>
      <w:r>
        <w:br/>
        <w:t>i wywiadu</w:t>
      </w:r>
    </w:p>
    <w:p w14:paraId="3E7681C8" w14:textId="77777777" w:rsidR="00BC4F4C" w:rsidRDefault="00BC4F4C">
      <w:pPr>
        <w:pStyle w:val="Standard"/>
        <w:spacing w:after="0" w:line="360" w:lineRule="auto"/>
        <w:ind w:left="709"/>
        <w:jc w:val="both"/>
      </w:pPr>
    </w:p>
    <w:p w14:paraId="635DBBA2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1DF417DC" w14:textId="77777777" w:rsidR="00BC4F4C" w:rsidRDefault="00BC4F4C">
      <w:pPr>
        <w:pStyle w:val="Standard"/>
        <w:spacing w:after="0" w:line="360" w:lineRule="auto"/>
        <w:jc w:val="both"/>
      </w:pPr>
    </w:p>
    <w:p w14:paraId="38441CE0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lastRenderedPageBreak/>
        <w:t>Obszar rozliczeń międzyokresowych czynnych</w:t>
      </w:r>
    </w:p>
    <w:p w14:paraId="2814A1EE" w14:textId="2E18464E" w:rsidR="00BC4F4C" w:rsidRDefault="0082648F">
      <w:pPr>
        <w:pStyle w:val="Standard"/>
        <w:spacing w:after="0" w:line="360" w:lineRule="auto"/>
        <w:jc w:val="both"/>
      </w:pPr>
      <w:r>
        <w:t>W celu weryfikacji salda pozycji rozliczeń międzyokresowych czynnych należy przeprowadzić niżej wskazane procedury badawcze:</w:t>
      </w:r>
    </w:p>
    <w:p w14:paraId="3A94F829" w14:textId="77777777" w:rsidR="00BC4F4C" w:rsidRDefault="0082648F">
      <w:pPr>
        <w:pStyle w:val="Standard"/>
        <w:numPr>
          <w:ilvl w:val="0"/>
          <w:numId w:val="29"/>
        </w:numPr>
        <w:spacing w:after="0" w:line="360" w:lineRule="auto"/>
        <w:ind w:left="765" w:hanging="360"/>
        <w:jc w:val="both"/>
      </w:pPr>
      <w:r>
        <w:t>Uzgodnienie analityki z syntetyką oraz pozycjami sprawozdania finansowego – technika analiz</w:t>
      </w:r>
    </w:p>
    <w:p w14:paraId="0001086D" w14:textId="77777777" w:rsidR="00BC4F4C" w:rsidRDefault="0082648F">
      <w:pPr>
        <w:pStyle w:val="Standard"/>
        <w:numPr>
          <w:ilvl w:val="0"/>
          <w:numId w:val="12"/>
        </w:numPr>
        <w:spacing w:after="0" w:line="360" w:lineRule="auto"/>
        <w:ind w:left="780" w:hanging="360"/>
        <w:jc w:val="both"/>
      </w:pPr>
      <w:r>
        <w:t>Weryfikacja tytułów rozliczeń międzyokresowych czynnych ujętych w sprawozdaniu finansowym na dzień bilansowy – technika analiz</w:t>
      </w:r>
    </w:p>
    <w:p w14:paraId="42ACF4AC" w14:textId="77777777" w:rsidR="00BC4F4C" w:rsidRDefault="0082648F">
      <w:pPr>
        <w:pStyle w:val="Standard"/>
        <w:numPr>
          <w:ilvl w:val="0"/>
          <w:numId w:val="12"/>
        </w:numPr>
        <w:spacing w:after="0" w:line="360" w:lineRule="auto"/>
        <w:ind w:left="735" w:hanging="360"/>
        <w:jc w:val="both"/>
      </w:pPr>
      <w:r>
        <w:t>Weryfikacja prawidłowości ujęcia w kosztach dokonanych w ciągu okresu obrachunkowego rozliczeń – technika obliczenia i analiz</w:t>
      </w:r>
    </w:p>
    <w:p w14:paraId="0033315F" w14:textId="77777777" w:rsidR="00BC4F4C" w:rsidRDefault="00BC4F4C">
      <w:pPr>
        <w:pStyle w:val="Standard"/>
        <w:spacing w:after="0" w:line="360" w:lineRule="auto"/>
        <w:ind w:left="735" w:hanging="360"/>
        <w:jc w:val="both"/>
      </w:pPr>
    </w:p>
    <w:p w14:paraId="46F9C468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76F09AC7" w14:textId="77777777" w:rsidR="00BC4F4C" w:rsidRDefault="00BC4F4C">
      <w:pPr>
        <w:pStyle w:val="Standard"/>
        <w:spacing w:after="0" w:line="360" w:lineRule="auto"/>
        <w:jc w:val="both"/>
      </w:pPr>
    </w:p>
    <w:p w14:paraId="076EBA16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kapitałów własnych</w:t>
      </w:r>
    </w:p>
    <w:p w14:paraId="3DE57FC9" w14:textId="744DFB8B" w:rsidR="00BC4F4C" w:rsidRDefault="0082648F">
      <w:pPr>
        <w:pStyle w:val="Standard"/>
        <w:spacing w:after="0" w:line="360" w:lineRule="auto"/>
        <w:jc w:val="both"/>
      </w:pPr>
      <w:r>
        <w:t>W celu weryfikacji salda pozycji kapitałów własnych należy przeprowadzić niżej wskazane procedury badawcze:</w:t>
      </w:r>
    </w:p>
    <w:p w14:paraId="286418CA" w14:textId="77777777" w:rsidR="00BC4F4C" w:rsidRDefault="0082648F">
      <w:pPr>
        <w:pStyle w:val="Standard"/>
        <w:numPr>
          <w:ilvl w:val="0"/>
          <w:numId w:val="30"/>
        </w:numPr>
        <w:spacing w:after="0" w:line="360" w:lineRule="auto"/>
        <w:ind w:left="750" w:hanging="360"/>
        <w:jc w:val="both"/>
      </w:pPr>
      <w:r>
        <w:t>Uzgodnienie analityki z syntetyką oraz pozycjami sprawozdania finansowego – technika analiz</w:t>
      </w:r>
    </w:p>
    <w:p w14:paraId="2317BDE6" w14:textId="77777777" w:rsidR="00BC4F4C" w:rsidRDefault="0082648F">
      <w:pPr>
        <w:pStyle w:val="Standard"/>
        <w:numPr>
          <w:ilvl w:val="0"/>
          <w:numId w:val="13"/>
        </w:numPr>
        <w:spacing w:after="0" w:line="360" w:lineRule="auto"/>
        <w:ind w:left="750" w:hanging="360"/>
        <w:jc w:val="both"/>
      </w:pPr>
      <w:r>
        <w:t>Weryfikacja zmian w kapitale własnym w badanym roku do roku poprzedniego – technika analiz</w:t>
      </w:r>
    </w:p>
    <w:p w14:paraId="60DCE317" w14:textId="77777777" w:rsidR="00BC4F4C" w:rsidRDefault="0082648F">
      <w:pPr>
        <w:pStyle w:val="Standard"/>
        <w:numPr>
          <w:ilvl w:val="0"/>
          <w:numId w:val="13"/>
        </w:numPr>
        <w:spacing w:after="0" w:line="360" w:lineRule="auto"/>
        <w:ind w:left="750" w:hanging="360"/>
        <w:jc w:val="both"/>
      </w:pPr>
      <w:r>
        <w:t>Przegląd uchwał podejmowanych przez organy jednostki w trakcie badanego roku – technika analiz</w:t>
      </w:r>
    </w:p>
    <w:p w14:paraId="1500CE96" w14:textId="77777777" w:rsidR="00BC4F4C" w:rsidRDefault="0082648F">
      <w:pPr>
        <w:pStyle w:val="Standard"/>
        <w:numPr>
          <w:ilvl w:val="0"/>
          <w:numId w:val="13"/>
        </w:numPr>
        <w:spacing w:after="0" w:line="360" w:lineRule="auto"/>
        <w:ind w:left="765" w:hanging="360"/>
        <w:jc w:val="both"/>
      </w:pPr>
      <w:r>
        <w:t>Przegląd poszczególnych pozycji kapitału własnego i weryfikacja ich wartości z dokumentacją źródłową – technika analiz</w:t>
      </w:r>
    </w:p>
    <w:p w14:paraId="5B02132D" w14:textId="77777777" w:rsidR="00BC4F4C" w:rsidRDefault="0082648F">
      <w:pPr>
        <w:pStyle w:val="Standard"/>
        <w:numPr>
          <w:ilvl w:val="0"/>
          <w:numId w:val="13"/>
        </w:numPr>
        <w:spacing w:after="0" w:line="360" w:lineRule="auto"/>
        <w:ind w:left="750" w:hanging="360"/>
        <w:jc w:val="both"/>
      </w:pPr>
      <w:r>
        <w:t>Ustalenie struktury właścicielskiej – technika analiz</w:t>
      </w:r>
    </w:p>
    <w:p w14:paraId="79A69882" w14:textId="77777777" w:rsidR="00BC4F4C" w:rsidRDefault="0082648F">
      <w:pPr>
        <w:pStyle w:val="Standard"/>
        <w:numPr>
          <w:ilvl w:val="0"/>
          <w:numId w:val="13"/>
        </w:numPr>
        <w:spacing w:after="0" w:line="360" w:lineRule="auto"/>
        <w:ind w:left="750" w:hanging="360"/>
        <w:jc w:val="both"/>
      </w:pPr>
      <w:r>
        <w:t>Ustalenie struktury zarządu – technika analiz</w:t>
      </w:r>
    </w:p>
    <w:p w14:paraId="0735BA67" w14:textId="77777777" w:rsidR="00BC4F4C" w:rsidRDefault="0082648F">
      <w:pPr>
        <w:pStyle w:val="Standard"/>
        <w:numPr>
          <w:ilvl w:val="0"/>
          <w:numId w:val="13"/>
        </w:numPr>
        <w:spacing w:after="0" w:line="360" w:lineRule="auto"/>
        <w:ind w:left="750" w:hanging="360"/>
        <w:jc w:val="both"/>
      </w:pPr>
      <w:r>
        <w:t>Weryfikacja ziszczenia się przesłanek określonych w art. 233 i 397 KSH – konieczność powzięcia uchwały o dalszym istnieniu spółki – technika analiz</w:t>
      </w:r>
    </w:p>
    <w:p w14:paraId="333CA89B" w14:textId="77777777" w:rsidR="00BC4F4C" w:rsidRDefault="00BC4F4C">
      <w:pPr>
        <w:pStyle w:val="Standard"/>
        <w:spacing w:after="0" w:line="360" w:lineRule="auto"/>
        <w:ind w:left="750" w:hanging="360"/>
        <w:jc w:val="both"/>
      </w:pPr>
    </w:p>
    <w:p w14:paraId="391D1C13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2CCACF9B" w14:textId="77777777" w:rsidR="00BC4F4C" w:rsidRDefault="00BC4F4C">
      <w:pPr>
        <w:pStyle w:val="Standard"/>
        <w:spacing w:after="0" w:line="360" w:lineRule="auto"/>
        <w:jc w:val="both"/>
      </w:pPr>
    </w:p>
    <w:p w14:paraId="7B8B4AD1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rezerw</w:t>
      </w:r>
    </w:p>
    <w:p w14:paraId="29C22824" w14:textId="6EB80233" w:rsidR="00BC4F4C" w:rsidRDefault="0082648F">
      <w:pPr>
        <w:pStyle w:val="Standard"/>
        <w:spacing w:after="0" w:line="360" w:lineRule="auto"/>
        <w:jc w:val="both"/>
      </w:pPr>
      <w:r>
        <w:t>W celu weryfikacji salda pozycji rezerw należy przeprowadzić niżej wskazane procedury badawcze:</w:t>
      </w:r>
    </w:p>
    <w:p w14:paraId="188ABC6E" w14:textId="77777777" w:rsidR="00BC4F4C" w:rsidRDefault="0082648F">
      <w:pPr>
        <w:pStyle w:val="Standard"/>
        <w:numPr>
          <w:ilvl w:val="0"/>
          <w:numId w:val="31"/>
        </w:numPr>
        <w:spacing w:after="0" w:line="360" w:lineRule="auto"/>
        <w:jc w:val="both"/>
      </w:pPr>
      <w:r>
        <w:t>Uzgodnienie analityki z syntetyką oraz pozycjami sprawozdania finansowego – technika analiz</w:t>
      </w:r>
    </w:p>
    <w:p w14:paraId="1D6B8927" w14:textId="77777777" w:rsidR="00BC4F4C" w:rsidRDefault="0082648F">
      <w:pPr>
        <w:pStyle w:val="Standard"/>
        <w:numPr>
          <w:ilvl w:val="0"/>
          <w:numId w:val="31"/>
        </w:numPr>
        <w:spacing w:after="0" w:line="360" w:lineRule="auto"/>
        <w:jc w:val="both"/>
      </w:pPr>
      <w:r>
        <w:t>Analiza tytułów poszczególnych rezerw ujętych w sprawozdaniu finansowym – technika analiz</w:t>
      </w:r>
    </w:p>
    <w:p w14:paraId="417951B1" w14:textId="77777777" w:rsidR="00BC4F4C" w:rsidRDefault="0082648F">
      <w:pPr>
        <w:pStyle w:val="Standard"/>
        <w:numPr>
          <w:ilvl w:val="0"/>
          <w:numId w:val="31"/>
        </w:numPr>
        <w:spacing w:after="0" w:line="360" w:lineRule="auto"/>
        <w:jc w:val="both"/>
      </w:pPr>
      <w:r>
        <w:lastRenderedPageBreak/>
        <w:t>Wycena – prawidłowości kalkulacji rezerw ujętych w sprawozdaniu finansowym na dzień bilansowy – technika obliczeń</w:t>
      </w:r>
    </w:p>
    <w:p w14:paraId="663FD9CD" w14:textId="77777777" w:rsidR="00BC4F4C" w:rsidRDefault="0082648F">
      <w:pPr>
        <w:pStyle w:val="Standard"/>
        <w:numPr>
          <w:ilvl w:val="0"/>
          <w:numId w:val="31"/>
        </w:numPr>
        <w:spacing w:after="0" w:line="360" w:lineRule="auto"/>
        <w:jc w:val="both"/>
      </w:pPr>
      <w:r>
        <w:t>Wycena – weryfikacja ujęcia w przychodach/kosztach badanej jednostki skutków rozwiązania/zawiązania rezerw – technika obliczeń</w:t>
      </w:r>
    </w:p>
    <w:p w14:paraId="3A9379E5" w14:textId="77777777" w:rsidR="00BC4F4C" w:rsidRDefault="0082648F">
      <w:pPr>
        <w:pStyle w:val="Standard"/>
        <w:numPr>
          <w:ilvl w:val="0"/>
          <w:numId w:val="31"/>
        </w:numPr>
        <w:spacing w:after="0" w:line="360" w:lineRule="auto"/>
        <w:jc w:val="both"/>
      </w:pPr>
      <w:r>
        <w:t>Analiza listu od prawnika pod kątem konieczności utworzenia rezerw na sprawy sporne – technika analiz i zapytań</w:t>
      </w:r>
    </w:p>
    <w:p w14:paraId="46B819A9" w14:textId="77777777" w:rsidR="00BC4F4C" w:rsidRDefault="00BC4F4C">
      <w:pPr>
        <w:pStyle w:val="Standard"/>
        <w:spacing w:after="0" w:line="360" w:lineRule="auto"/>
        <w:jc w:val="both"/>
      </w:pPr>
    </w:p>
    <w:p w14:paraId="1FBD4F93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3CA27273" w14:textId="77777777" w:rsidR="00BC4F4C" w:rsidRDefault="00BC4F4C">
      <w:pPr>
        <w:pStyle w:val="Standard"/>
        <w:spacing w:after="0" w:line="360" w:lineRule="auto"/>
        <w:jc w:val="both"/>
      </w:pPr>
    </w:p>
    <w:p w14:paraId="3F0D7A86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zobowiązań z tytułu kredytów i pożyczek</w:t>
      </w:r>
    </w:p>
    <w:p w14:paraId="03222ADE" w14:textId="24393E5D" w:rsidR="00BC4F4C" w:rsidRDefault="0082648F">
      <w:pPr>
        <w:pStyle w:val="Standard"/>
        <w:spacing w:after="0" w:line="360" w:lineRule="auto"/>
        <w:jc w:val="both"/>
      </w:pPr>
      <w:r>
        <w:t>W celu weryfikacji salda pozycji kredytów i pożyczek należy przeprowadzić niżej wskazane procedury badawcze:</w:t>
      </w:r>
    </w:p>
    <w:p w14:paraId="50D3455D" w14:textId="77777777" w:rsidR="00BC4F4C" w:rsidRDefault="0082648F">
      <w:pPr>
        <w:pStyle w:val="Standard"/>
        <w:numPr>
          <w:ilvl w:val="0"/>
          <w:numId w:val="32"/>
        </w:numPr>
        <w:spacing w:after="0" w:line="360" w:lineRule="auto"/>
        <w:jc w:val="both"/>
      </w:pPr>
      <w:r>
        <w:t>Uzgodnienie analityki z syntetyką oraz pozycjami sprawozdania finansowego – technika analiz</w:t>
      </w:r>
    </w:p>
    <w:p w14:paraId="5418DBE6" w14:textId="77777777" w:rsidR="00BC4F4C" w:rsidRDefault="0082648F">
      <w:pPr>
        <w:pStyle w:val="Standard"/>
        <w:numPr>
          <w:ilvl w:val="0"/>
          <w:numId w:val="32"/>
        </w:numPr>
        <w:spacing w:after="0" w:line="360" w:lineRule="auto"/>
        <w:jc w:val="both"/>
      </w:pPr>
      <w:r>
        <w:t>Dokonanie opisu umów kredytów i pożyczek obowiązujących w jednostce w badanym okresie – technika analiz i wywiadu</w:t>
      </w:r>
    </w:p>
    <w:p w14:paraId="58B8F29A" w14:textId="77777777" w:rsidR="00BC4F4C" w:rsidRDefault="0082648F">
      <w:pPr>
        <w:pStyle w:val="Standard"/>
        <w:numPr>
          <w:ilvl w:val="0"/>
          <w:numId w:val="32"/>
        </w:numPr>
        <w:spacing w:after="0" w:line="360" w:lineRule="auto"/>
        <w:jc w:val="both"/>
      </w:pPr>
      <w:r>
        <w:t>Istnienie – potwierdzenie istnienia zobowiązań z tytułu kredytów i pożyczek poprzez uzyskanie niezależnych potwierdzeń sald od podmiotów udzielających ww. zobowiązania – technika sprawdzenia</w:t>
      </w:r>
    </w:p>
    <w:p w14:paraId="4A3FD4F0" w14:textId="77777777" w:rsidR="00BC4F4C" w:rsidRDefault="0082648F">
      <w:pPr>
        <w:pStyle w:val="Standard"/>
        <w:numPr>
          <w:ilvl w:val="0"/>
          <w:numId w:val="32"/>
        </w:numPr>
        <w:spacing w:after="0" w:line="360" w:lineRule="auto"/>
        <w:jc w:val="both"/>
      </w:pPr>
      <w:r>
        <w:t>Wycena walutowa – weryfikacja zastosowanego kursu do wyceny walutowej zobowiązania oraz sprawdzenie prawidłowości ujęcia powstałych różnic kursowych w księgach rachunkowych – technika obliczeń</w:t>
      </w:r>
    </w:p>
    <w:p w14:paraId="0DD8D09C" w14:textId="6932D540" w:rsidR="00BC4F4C" w:rsidRDefault="0082648F">
      <w:pPr>
        <w:pStyle w:val="Standard"/>
        <w:numPr>
          <w:ilvl w:val="0"/>
          <w:numId w:val="32"/>
        </w:numPr>
        <w:spacing w:after="0" w:line="360" w:lineRule="auto"/>
        <w:jc w:val="both"/>
      </w:pPr>
      <w:r>
        <w:t>Wycena zobowiązań długoterminowych – dla kredytów/pożyczek długoterminowych</w:t>
      </w:r>
      <w:r w:rsidR="00DE006C">
        <w:t>,</w:t>
      </w:r>
      <w:r>
        <w:t xml:space="preserve"> dla których ustalono harmonogram spłaty</w:t>
      </w:r>
      <w:r w:rsidR="00DE006C">
        <w:t>,</w:t>
      </w:r>
      <w:r>
        <w:t xml:space="preserve"> przeprowadzić wycenę wg skorygowanej ceny nabycia – technika obliczeń</w:t>
      </w:r>
    </w:p>
    <w:p w14:paraId="51C7A6D8" w14:textId="77777777" w:rsidR="00BC4F4C" w:rsidRDefault="0082648F">
      <w:pPr>
        <w:pStyle w:val="Standard"/>
        <w:numPr>
          <w:ilvl w:val="0"/>
          <w:numId w:val="32"/>
        </w:numPr>
        <w:spacing w:after="0" w:line="360" w:lineRule="auto"/>
        <w:jc w:val="both"/>
      </w:pPr>
      <w:r>
        <w:t>Weryfikacja kompletności ujęcia odsetek w rachunku zysków i strat – technika analiz</w:t>
      </w:r>
    </w:p>
    <w:p w14:paraId="735892D1" w14:textId="5E2BD768" w:rsidR="00BC4F4C" w:rsidRDefault="0082648F">
      <w:pPr>
        <w:pStyle w:val="Standard"/>
        <w:numPr>
          <w:ilvl w:val="0"/>
          <w:numId w:val="32"/>
        </w:numPr>
        <w:spacing w:after="0" w:line="360" w:lineRule="auto"/>
        <w:jc w:val="both"/>
      </w:pPr>
      <w:r>
        <w:t>Weryfikacja prawidłowości podziału kredytów i pożyczek na część długo</w:t>
      </w:r>
      <w:r w:rsidR="00DE006C">
        <w:t>-</w:t>
      </w:r>
      <w:r>
        <w:t xml:space="preserve"> i krótkoterminową </w:t>
      </w:r>
      <w:r>
        <w:br/>
        <w:t>w oparciu o harmonogramy spłat i umowy – technika analiz</w:t>
      </w:r>
    </w:p>
    <w:p w14:paraId="280560C7" w14:textId="77777777" w:rsidR="00BC4F4C" w:rsidRDefault="0082648F">
      <w:pPr>
        <w:pStyle w:val="Standard"/>
        <w:numPr>
          <w:ilvl w:val="0"/>
          <w:numId w:val="32"/>
        </w:numPr>
        <w:spacing w:after="0" w:line="360" w:lineRule="auto"/>
        <w:jc w:val="both"/>
      </w:pPr>
      <w:r>
        <w:t>Na podstawie treści zawartych umów kredytów i pożyczek należy ustalić kowenanty z nich wynikająca, a następnie sprawdzić, czy jednostka je spełnia na dzień bilansowy – technika analiz</w:t>
      </w:r>
    </w:p>
    <w:p w14:paraId="715E67B7" w14:textId="5F852BCD" w:rsidR="00BC4F4C" w:rsidRDefault="0082648F">
      <w:pPr>
        <w:pStyle w:val="Standard"/>
        <w:numPr>
          <w:ilvl w:val="0"/>
          <w:numId w:val="32"/>
        </w:numPr>
        <w:spacing w:after="0" w:line="360" w:lineRule="auto"/>
        <w:jc w:val="both"/>
      </w:pPr>
      <w:r>
        <w:t xml:space="preserve">Jeżeli pożyczkodawcą jest spółka z grupy kapitałowej należy rozważyć kwestie podatkowe </w:t>
      </w:r>
      <w:r>
        <w:br/>
        <w:t>z tym związane – podatek od czynności cywilno</w:t>
      </w:r>
      <w:r w:rsidR="00DE0E06">
        <w:t>-</w:t>
      </w:r>
      <w:r>
        <w:t>prawnych, cienka kapitalizacja – technika analiz</w:t>
      </w:r>
    </w:p>
    <w:p w14:paraId="4DBDC4E0" w14:textId="77777777" w:rsidR="00BC4F4C" w:rsidRDefault="00BC4F4C">
      <w:pPr>
        <w:pStyle w:val="Standard"/>
        <w:spacing w:after="0" w:line="360" w:lineRule="auto"/>
        <w:jc w:val="both"/>
      </w:pPr>
    </w:p>
    <w:p w14:paraId="0436A6B6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3FA645B8" w14:textId="77777777" w:rsidR="00BC4F4C" w:rsidRDefault="00BC4F4C">
      <w:pPr>
        <w:pStyle w:val="Standard"/>
        <w:spacing w:after="0" w:line="360" w:lineRule="auto"/>
        <w:jc w:val="both"/>
      </w:pPr>
    </w:p>
    <w:p w14:paraId="68CD871F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lastRenderedPageBreak/>
        <w:t>Obszar zobowiązań handlowych</w:t>
      </w:r>
    </w:p>
    <w:p w14:paraId="2FC5A3F4" w14:textId="77777777" w:rsidR="00BC4F4C" w:rsidRDefault="0082648F">
      <w:pPr>
        <w:pStyle w:val="Standard"/>
        <w:spacing w:after="0" w:line="360" w:lineRule="auto"/>
        <w:jc w:val="both"/>
      </w:pPr>
      <w:r>
        <w:t>W celu weryfikacji salda pozycji zobowiązań handlowych należy przeprowadzić niżej wskazane procedury badawcze:</w:t>
      </w:r>
    </w:p>
    <w:p w14:paraId="4C2F8C80" w14:textId="77777777" w:rsidR="00BC4F4C" w:rsidRDefault="0082648F">
      <w:pPr>
        <w:pStyle w:val="Standard"/>
        <w:numPr>
          <w:ilvl w:val="0"/>
          <w:numId w:val="33"/>
        </w:numPr>
        <w:spacing w:after="0" w:line="360" w:lineRule="auto"/>
        <w:jc w:val="both"/>
      </w:pPr>
      <w:r>
        <w:t>Uzgodnienie analityki z syntetyką oraz pozycjami sprawozdania finansowego – technika analiz</w:t>
      </w:r>
    </w:p>
    <w:p w14:paraId="572DE191" w14:textId="77777777" w:rsidR="00BC4F4C" w:rsidRDefault="0082648F">
      <w:pPr>
        <w:pStyle w:val="Standard"/>
        <w:numPr>
          <w:ilvl w:val="0"/>
          <w:numId w:val="33"/>
        </w:numPr>
        <w:spacing w:after="0" w:line="360" w:lineRule="auto"/>
        <w:jc w:val="both"/>
      </w:pPr>
      <w:r>
        <w:rPr>
          <w:rFonts w:eastAsia="Calibri"/>
          <w:color w:val="000000"/>
        </w:rPr>
        <w:t>Weryfikacja przypisania kosztów do okresu, którego dotyczą – zbadanie prawidłowości przypisania kosztów do okresów na przełomie lat obrachunkowych – technika analiz</w:t>
      </w:r>
    </w:p>
    <w:p w14:paraId="16335411" w14:textId="12EE3F8D" w:rsidR="00BC4F4C" w:rsidRDefault="0082648F">
      <w:pPr>
        <w:pStyle w:val="Standard"/>
        <w:numPr>
          <w:ilvl w:val="0"/>
          <w:numId w:val="33"/>
        </w:numPr>
        <w:spacing w:after="0" w:line="360" w:lineRule="auto"/>
        <w:jc w:val="both"/>
      </w:pPr>
      <w:r>
        <w:rPr>
          <w:rFonts w:eastAsia="Calibri"/>
          <w:color w:val="000000"/>
        </w:rPr>
        <w:t>Weryfikacja płatności po dniu bilansowym - przegląd wyciągów bankowych ze stycznia kolejnego roku obrotowego pod katem płatności za nieujęte zobowiązania na dzień 31 grudnia badanego roku – technika analiz</w:t>
      </w:r>
    </w:p>
    <w:p w14:paraId="4A2CC23A" w14:textId="77777777" w:rsidR="00BC4F4C" w:rsidRDefault="0082648F">
      <w:pPr>
        <w:pStyle w:val="Standard"/>
        <w:numPr>
          <w:ilvl w:val="0"/>
          <w:numId w:val="33"/>
        </w:numPr>
        <w:spacing w:after="0" w:line="360" w:lineRule="auto"/>
        <w:jc w:val="both"/>
      </w:pPr>
      <w:r>
        <w:rPr>
          <w:rFonts w:eastAsia="Calibri"/>
          <w:color w:val="000000"/>
        </w:rPr>
        <w:t>Kompletność ujęcia – technika analiz</w:t>
      </w:r>
    </w:p>
    <w:p w14:paraId="322411CC" w14:textId="77777777" w:rsidR="00BC4F4C" w:rsidRDefault="0082648F">
      <w:pPr>
        <w:pStyle w:val="Standard"/>
        <w:numPr>
          <w:ilvl w:val="0"/>
          <w:numId w:val="33"/>
        </w:numPr>
        <w:spacing w:after="0" w:line="360" w:lineRule="auto"/>
        <w:jc w:val="both"/>
      </w:pPr>
      <w:r>
        <w:t>Wiekowanie – uzgodnienie wiekowania do zestawienia obrotów i sald na dzień bilansowy, sprawdzenie poprawności wiekowania, analiza wiekowania – technika analiz i badania</w:t>
      </w:r>
    </w:p>
    <w:p w14:paraId="2CCB9A13" w14:textId="77777777" w:rsidR="00BC4F4C" w:rsidRDefault="0082648F">
      <w:pPr>
        <w:pStyle w:val="Standard"/>
        <w:numPr>
          <w:ilvl w:val="0"/>
          <w:numId w:val="33"/>
        </w:numPr>
        <w:spacing w:after="0" w:line="360" w:lineRule="auto"/>
        <w:jc w:val="both"/>
      </w:pPr>
      <w:r>
        <w:t>Istnienie – badanie istnienia zobowiązań handlowych w drodze niezależnego potwierdzenia sald z kontrahentami – technika sprawdzenia i analiz</w:t>
      </w:r>
    </w:p>
    <w:p w14:paraId="19E29203" w14:textId="5908C329" w:rsidR="00BC4F4C" w:rsidRDefault="0082648F">
      <w:pPr>
        <w:pStyle w:val="Standard"/>
        <w:numPr>
          <w:ilvl w:val="0"/>
          <w:numId w:val="33"/>
        </w:numPr>
        <w:spacing w:after="0" w:line="360" w:lineRule="auto"/>
        <w:jc w:val="both"/>
      </w:pPr>
      <w:r>
        <w:t xml:space="preserve">Wycena netto – sprawdzenie zobowiązań przeterminowanych na dzień sporządzenia sprawozdania finansowego, weryfikacja konieczności naliczenia odsetek - technika obliczeń </w:t>
      </w:r>
      <w:r>
        <w:br/>
        <w:t>i analiz</w:t>
      </w:r>
    </w:p>
    <w:p w14:paraId="24083F07" w14:textId="77777777" w:rsidR="00BC4F4C" w:rsidRDefault="0082648F">
      <w:pPr>
        <w:pStyle w:val="Standard"/>
        <w:numPr>
          <w:ilvl w:val="0"/>
          <w:numId w:val="33"/>
        </w:numPr>
        <w:spacing w:after="0" w:line="360" w:lineRule="auto"/>
        <w:jc w:val="both"/>
      </w:pPr>
      <w:r>
        <w:t>Wycena walutowa – badanie prawidłowości zastosowanych kursów walut do wyceny zobowiązań handlowych oraz ujęcia w księgach rachunkowych powstałych różnic kursowych – technika obliczeń</w:t>
      </w:r>
    </w:p>
    <w:p w14:paraId="6B66C363" w14:textId="77777777" w:rsidR="00BC4F4C" w:rsidRDefault="0082648F">
      <w:pPr>
        <w:pStyle w:val="Standard"/>
        <w:numPr>
          <w:ilvl w:val="0"/>
          <w:numId w:val="33"/>
        </w:numPr>
        <w:spacing w:after="0" w:line="360" w:lineRule="auto"/>
        <w:jc w:val="both"/>
      </w:pPr>
      <w:r>
        <w:t xml:space="preserve">Badanie transakcji z jednostkami powiązanymi, weryfikacja prawidłowości ich wyceny </w:t>
      </w:r>
      <w:r>
        <w:br/>
        <w:t>i prezentacji w sprawozdaniu finansowym – technika analiz</w:t>
      </w:r>
    </w:p>
    <w:p w14:paraId="6062909E" w14:textId="4033EBEA" w:rsidR="00BC4F4C" w:rsidRDefault="0082648F">
      <w:pPr>
        <w:pStyle w:val="Standard"/>
        <w:numPr>
          <w:ilvl w:val="0"/>
          <w:numId w:val="33"/>
        </w:numPr>
        <w:spacing w:after="0" w:line="360" w:lineRule="auto"/>
        <w:jc w:val="both"/>
      </w:pPr>
      <w:r>
        <w:t>Zaliczki na dostawy – analiza zapisów na koncie, weryfikacja</w:t>
      </w:r>
      <w:r>
        <w:rPr>
          <w:rFonts w:eastAsia="Calibri"/>
          <w:color w:val="000000"/>
        </w:rPr>
        <w:t xml:space="preserve"> czy jednostka odnotowała wpływ środków pieniężnych z tytułu najbardziej istotnych pozycji na rachunek bankowy oraz czy po dniu bilansowym nastąpiło rozliczenie otrzymanych zaliczek – technika analiz i obliczeń</w:t>
      </w:r>
    </w:p>
    <w:p w14:paraId="4052EDB7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48766A09" w14:textId="77777777" w:rsidR="00BC4F4C" w:rsidRDefault="00BC4F4C">
      <w:pPr>
        <w:pStyle w:val="Standard"/>
        <w:spacing w:after="0" w:line="360" w:lineRule="auto"/>
        <w:jc w:val="both"/>
      </w:pPr>
    </w:p>
    <w:p w14:paraId="01CEABF9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rozliczeń międzyokresowych biernych</w:t>
      </w:r>
    </w:p>
    <w:p w14:paraId="70A8149E" w14:textId="77777777" w:rsidR="00BC4F4C" w:rsidRDefault="0082648F">
      <w:pPr>
        <w:pStyle w:val="Standard"/>
        <w:spacing w:after="0" w:line="360" w:lineRule="auto"/>
        <w:jc w:val="both"/>
      </w:pPr>
      <w:r>
        <w:t>W celu weryfikacji salda pozycji rozliczeń międzyokresowych biernych należy przeprowadzić niżej wskazane procedury badawcze:</w:t>
      </w:r>
    </w:p>
    <w:p w14:paraId="7B2BF532" w14:textId="77777777" w:rsidR="00BC4F4C" w:rsidRDefault="0082648F">
      <w:pPr>
        <w:pStyle w:val="Standard"/>
        <w:numPr>
          <w:ilvl w:val="0"/>
          <w:numId w:val="34"/>
        </w:numPr>
        <w:spacing w:after="0" w:line="360" w:lineRule="auto"/>
        <w:jc w:val="both"/>
      </w:pPr>
      <w:r>
        <w:t>Uzgodnienie analityki z syntetyką oraz pozycjami sprawozdania finansowego – technika analiz</w:t>
      </w:r>
    </w:p>
    <w:p w14:paraId="606A8369" w14:textId="77777777" w:rsidR="00BC4F4C" w:rsidRDefault="0082648F">
      <w:pPr>
        <w:pStyle w:val="Standard"/>
        <w:numPr>
          <w:ilvl w:val="0"/>
          <w:numId w:val="34"/>
        </w:numPr>
        <w:spacing w:after="0" w:line="360" w:lineRule="auto"/>
        <w:jc w:val="both"/>
      </w:pPr>
      <w:r>
        <w:t>Przegląd analityczny pozycji składających się na saldo konta – technika analiz</w:t>
      </w:r>
    </w:p>
    <w:p w14:paraId="714043E9" w14:textId="77777777" w:rsidR="00BC4F4C" w:rsidRDefault="0082648F">
      <w:pPr>
        <w:pStyle w:val="Standard"/>
        <w:numPr>
          <w:ilvl w:val="0"/>
          <w:numId w:val="34"/>
        </w:numPr>
        <w:spacing w:after="0" w:line="360" w:lineRule="auto"/>
        <w:jc w:val="both"/>
      </w:pPr>
      <w:r>
        <w:t>Weryfikacja prawidłowości ujęcia istotnych pozycji RMB w księgach rachunkowych jednostki – technika analiz i obliczeń</w:t>
      </w:r>
    </w:p>
    <w:p w14:paraId="497A29A5" w14:textId="77777777" w:rsidR="00BC4F4C" w:rsidRDefault="00BC4F4C">
      <w:pPr>
        <w:pStyle w:val="Standard"/>
        <w:spacing w:after="0" w:line="360" w:lineRule="auto"/>
        <w:jc w:val="both"/>
      </w:pPr>
    </w:p>
    <w:p w14:paraId="6E9C7D46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047EDA93" w14:textId="77777777" w:rsidR="00BC4F4C" w:rsidRDefault="00BC4F4C">
      <w:pPr>
        <w:pStyle w:val="Standard"/>
        <w:spacing w:after="0" w:line="360" w:lineRule="auto"/>
        <w:jc w:val="both"/>
        <w:rPr>
          <w:i/>
          <w:u w:val="single"/>
        </w:rPr>
      </w:pPr>
    </w:p>
    <w:p w14:paraId="1193DB7F" w14:textId="77777777" w:rsidR="00BC4F4C" w:rsidRDefault="0082648F">
      <w:pPr>
        <w:pStyle w:val="Standard"/>
        <w:spacing w:after="0" w:line="360" w:lineRule="auto"/>
        <w:jc w:val="both"/>
      </w:pPr>
      <w:r>
        <w:rPr>
          <w:i/>
          <w:u w:val="single"/>
        </w:rPr>
        <w:t>Obszar podatku odroczonego oraz podatku dochodowego od osób prawnych</w:t>
      </w:r>
    </w:p>
    <w:p w14:paraId="70586369" w14:textId="77777777" w:rsidR="00BC4F4C" w:rsidRDefault="0082648F">
      <w:pPr>
        <w:pStyle w:val="Standard"/>
        <w:spacing w:after="0" w:line="360" w:lineRule="auto"/>
        <w:jc w:val="both"/>
      </w:pPr>
      <w:r>
        <w:t>W celu weryfikacji salda pozycji podatku odroczonego oraz podatku dochodowego od osób prawnych należy przeprowadzić niżej wskazane procedury badawcze:</w:t>
      </w:r>
    </w:p>
    <w:p w14:paraId="09EAAFE7" w14:textId="77777777" w:rsidR="00BC4F4C" w:rsidRDefault="0082648F">
      <w:pPr>
        <w:pStyle w:val="Standard"/>
        <w:numPr>
          <w:ilvl w:val="0"/>
          <w:numId w:val="35"/>
        </w:numPr>
        <w:spacing w:after="0" w:line="360" w:lineRule="auto"/>
        <w:jc w:val="both"/>
      </w:pPr>
      <w:r>
        <w:t>Uzgodnienie analityki z syntetyką oraz pozycjami sprawozdania finansowego – technika analiz</w:t>
      </w:r>
    </w:p>
    <w:p w14:paraId="0B6AF508" w14:textId="77777777" w:rsidR="00BC4F4C" w:rsidRDefault="0082648F">
      <w:pPr>
        <w:pStyle w:val="Standard"/>
        <w:numPr>
          <w:ilvl w:val="0"/>
          <w:numId w:val="35"/>
        </w:numPr>
        <w:spacing w:after="0" w:line="360" w:lineRule="auto"/>
        <w:jc w:val="both"/>
      </w:pPr>
      <w:r>
        <w:t>Przegląd analityczny pozycji w sprawozdaniu finansowym – technika analiz</w:t>
      </w:r>
    </w:p>
    <w:p w14:paraId="2146EBA8" w14:textId="77777777" w:rsidR="00BC4F4C" w:rsidRDefault="0082648F">
      <w:pPr>
        <w:pStyle w:val="Standard"/>
        <w:numPr>
          <w:ilvl w:val="0"/>
          <w:numId w:val="35"/>
        </w:numPr>
        <w:spacing w:after="0" w:line="360" w:lineRule="auto"/>
        <w:jc w:val="both"/>
      </w:pPr>
      <w:r>
        <w:t xml:space="preserve">Rozliczenie podatku dochodowego od osób prawnych za badany okres sprawozdawczy – porównanie dokonanego rozliczenia z kalkulacją jednostki przedstawioną audytorom </w:t>
      </w:r>
      <w:r>
        <w:br/>
        <w:t>w trakcie badania – technika obliczeń i analiz</w:t>
      </w:r>
    </w:p>
    <w:p w14:paraId="38CB44E7" w14:textId="77777777" w:rsidR="00BC4F4C" w:rsidRDefault="0082648F">
      <w:pPr>
        <w:pStyle w:val="Standard"/>
        <w:numPr>
          <w:ilvl w:val="0"/>
          <w:numId w:val="35"/>
        </w:numPr>
        <w:spacing w:after="0" w:line="360" w:lineRule="auto"/>
        <w:jc w:val="both"/>
      </w:pPr>
      <w:r>
        <w:t>Weryfikacja płatności zaliczek na podatek dochodowy od osób prawnych w okresie sprawozdawczym (CIT2) – technika analiz</w:t>
      </w:r>
    </w:p>
    <w:p w14:paraId="691F2696" w14:textId="2801991F" w:rsidR="00BC4F4C" w:rsidRDefault="0082648F">
      <w:pPr>
        <w:pStyle w:val="Standard"/>
        <w:numPr>
          <w:ilvl w:val="0"/>
          <w:numId w:val="35"/>
        </w:numPr>
        <w:spacing w:after="0" w:line="360" w:lineRule="auto"/>
        <w:jc w:val="both"/>
      </w:pPr>
      <w:r>
        <w:t xml:space="preserve">Weryfikacja oszacowania wartości odroczonego podatku </w:t>
      </w:r>
      <w:r w:rsidR="00DE006C">
        <w:t>d</w:t>
      </w:r>
      <w:r w:rsidR="00DE006C">
        <w:t>ochod</w:t>
      </w:r>
      <w:r w:rsidR="00DE006C">
        <w:t xml:space="preserve">owego </w:t>
      </w:r>
      <w:r>
        <w:t>na dzień bilansowy - technika analiz i obliczeń</w:t>
      </w:r>
    </w:p>
    <w:p w14:paraId="6B182C12" w14:textId="77777777" w:rsidR="00BC4F4C" w:rsidRDefault="00BC4F4C">
      <w:pPr>
        <w:pStyle w:val="Standard"/>
        <w:spacing w:after="0" w:line="360" w:lineRule="auto"/>
        <w:jc w:val="both"/>
      </w:pPr>
    </w:p>
    <w:p w14:paraId="195F97BE" w14:textId="77777777" w:rsidR="00BC4F4C" w:rsidRDefault="0082648F">
      <w:pPr>
        <w:pStyle w:val="Standard"/>
        <w:spacing w:after="0" w:line="360" w:lineRule="auto"/>
        <w:jc w:val="both"/>
      </w:pPr>
      <w:r>
        <w:t>Powyższa lista procedur nie jest listą zamkniętą, a poszczególne jej elementy należy dostosować do sytuacji badanej jednostki gospodarczej.</w:t>
      </w:r>
    </w:p>
    <w:p w14:paraId="034D0867" w14:textId="77777777" w:rsidR="00BC4F4C" w:rsidRDefault="00BC4F4C">
      <w:pPr>
        <w:pStyle w:val="Standard"/>
        <w:spacing w:line="360" w:lineRule="auto"/>
        <w:jc w:val="both"/>
      </w:pPr>
    </w:p>
    <w:sectPr w:rsidR="00BC4F4C" w:rsidSect="00BC4F4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F034D" w14:textId="77777777" w:rsidR="0082648F" w:rsidRDefault="0082648F" w:rsidP="00BC4F4C">
      <w:pPr>
        <w:spacing w:after="0" w:line="240" w:lineRule="auto"/>
      </w:pPr>
      <w:r>
        <w:separator/>
      </w:r>
    </w:p>
  </w:endnote>
  <w:endnote w:type="continuationSeparator" w:id="0">
    <w:p w14:paraId="297DCC98" w14:textId="77777777" w:rsidR="0082648F" w:rsidRDefault="0082648F" w:rsidP="00BC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A05D1" w14:textId="77777777" w:rsidR="0082648F" w:rsidRDefault="0082648F" w:rsidP="00BC4F4C">
      <w:pPr>
        <w:spacing w:after="0" w:line="240" w:lineRule="auto"/>
      </w:pPr>
      <w:r w:rsidRPr="00BC4F4C">
        <w:rPr>
          <w:color w:val="000000"/>
        </w:rPr>
        <w:separator/>
      </w:r>
    </w:p>
  </w:footnote>
  <w:footnote w:type="continuationSeparator" w:id="0">
    <w:p w14:paraId="1C30AC44" w14:textId="77777777" w:rsidR="0082648F" w:rsidRDefault="0082648F" w:rsidP="00BC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433"/>
    <w:multiLevelType w:val="multilevel"/>
    <w:tmpl w:val="FCB44E14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6755E78"/>
    <w:multiLevelType w:val="multilevel"/>
    <w:tmpl w:val="EEB4153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7242D98"/>
    <w:multiLevelType w:val="multilevel"/>
    <w:tmpl w:val="CAEA2FF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5F17607"/>
    <w:multiLevelType w:val="multilevel"/>
    <w:tmpl w:val="57164A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8675130"/>
    <w:multiLevelType w:val="multilevel"/>
    <w:tmpl w:val="C35E61E4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8DB45CE"/>
    <w:multiLevelType w:val="multilevel"/>
    <w:tmpl w:val="7E9EE2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C0A63B7"/>
    <w:multiLevelType w:val="multilevel"/>
    <w:tmpl w:val="63BEFF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EB70661"/>
    <w:multiLevelType w:val="multilevel"/>
    <w:tmpl w:val="CA06DB6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3371BA2"/>
    <w:multiLevelType w:val="multilevel"/>
    <w:tmpl w:val="76F28C4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5822B3B"/>
    <w:multiLevelType w:val="multilevel"/>
    <w:tmpl w:val="6FC43122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83776CE"/>
    <w:multiLevelType w:val="multilevel"/>
    <w:tmpl w:val="2F0AFCAA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F5501F5"/>
    <w:multiLevelType w:val="multilevel"/>
    <w:tmpl w:val="888A7F5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318502B0"/>
    <w:multiLevelType w:val="multilevel"/>
    <w:tmpl w:val="AED25B0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326D3F64"/>
    <w:multiLevelType w:val="multilevel"/>
    <w:tmpl w:val="46E636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40E2E0D"/>
    <w:multiLevelType w:val="multilevel"/>
    <w:tmpl w:val="B50E4A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EE224A"/>
    <w:multiLevelType w:val="multilevel"/>
    <w:tmpl w:val="32320BC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8CE6ACF"/>
    <w:multiLevelType w:val="multilevel"/>
    <w:tmpl w:val="CB1696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F072D7E"/>
    <w:multiLevelType w:val="multilevel"/>
    <w:tmpl w:val="00840A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4D90167"/>
    <w:multiLevelType w:val="multilevel"/>
    <w:tmpl w:val="1106512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FD42FF6"/>
    <w:multiLevelType w:val="multilevel"/>
    <w:tmpl w:val="379E00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2141C8E"/>
    <w:multiLevelType w:val="multilevel"/>
    <w:tmpl w:val="49C4509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55544234"/>
    <w:multiLevelType w:val="multilevel"/>
    <w:tmpl w:val="18FA7F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E4B4024"/>
    <w:multiLevelType w:val="multilevel"/>
    <w:tmpl w:val="B5E8F7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055655C"/>
    <w:multiLevelType w:val="multilevel"/>
    <w:tmpl w:val="8ACC40F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60E27C17"/>
    <w:multiLevelType w:val="multilevel"/>
    <w:tmpl w:val="AE36BFEC"/>
    <w:styleLink w:val="WWNum1"/>
    <w:lvl w:ilvl="0">
      <w:numFmt w:val="bullet"/>
      <w:lvlText w:val=""/>
      <w:lvlJc w:val="left"/>
    </w:lvl>
    <w:lvl w:ilvl="1">
      <w:numFmt w:val="bullet"/>
      <w:lvlText w:val="◦"/>
      <w:lvlJc w:val="left"/>
      <w:rPr>
        <w:rFonts w:eastAsia="OpenSymbol" w:cs="OpenSymbol"/>
      </w:rPr>
    </w:lvl>
    <w:lvl w:ilvl="2">
      <w:numFmt w:val="bullet"/>
      <w:lvlText w:val="▪"/>
      <w:lvlJc w:val="left"/>
      <w:rPr>
        <w:rFonts w:eastAsia="OpenSymbol" w:cs="OpenSymbol"/>
      </w:rPr>
    </w:lvl>
    <w:lvl w:ilvl="3">
      <w:numFmt w:val="bullet"/>
      <w:lvlText w:val="•"/>
      <w:lvlJc w:val="left"/>
      <w:rPr>
        <w:rFonts w:eastAsia="OpenSymbol" w:cs="OpenSymbol"/>
      </w:rPr>
    </w:lvl>
    <w:lvl w:ilvl="4">
      <w:numFmt w:val="bullet"/>
      <w:lvlText w:val="◦"/>
      <w:lvlJc w:val="left"/>
      <w:rPr>
        <w:rFonts w:eastAsia="OpenSymbol" w:cs="OpenSymbol"/>
      </w:rPr>
    </w:lvl>
    <w:lvl w:ilvl="5">
      <w:numFmt w:val="bullet"/>
      <w:lvlText w:val="▪"/>
      <w:lvlJc w:val="left"/>
      <w:rPr>
        <w:rFonts w:eastAsia="OpenSymbol" w:cs="OpenSymbol"/>
      </w:rPr>
    </w:lvl>
    <w:lvl w:ilvl="6">
      <w:numFmt w:val="bullet"/>
      <w:lvlText w:val="•"/>
      <w:lvlJc w:val="left"/>
      <w:rPr>
        <w:rFonts w:eastAsia="OpenSymbol" w:cs="OpenSymbol"/>
      </w:rPr>
    </w:lvl>
    <w:lvl w:ilvl="7">
      <w:numFmt w:val="bullet"/>
      <w:lvlText w:val="◦"/>
      <w:lvlJc w:val="left"/>
      <w:rPr>
        <w:rFonts w:eastAsia="OpenSymbol" w:cs="OpenSymbol"/>
      </w:rPr>
    </w:lvl>
    <w:lvl w:ilvl="8">
      <w:numFmt w:val="bullet"/>
      <w:lvlText w:val="▪"/>
      <w:lvlJc w:val="left"/>
      <w:rPr>
        <w:rFonts w:eastAsia="OpenSymbol" w:cs="OpenSymbol"/>
      </w:rPr>
    </w:lvl>
  </w:abstractNum>
  <w:abstractNum w:abstractNumId="25" w15:restartNumberingAfterBreak="0">
    <w:nsid w:val="67DE6ACD"/>
    <w:multiLevelType w:val="multilevel"/>
    <w:tmpl w:val="1A28F406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7631016A"/>
    <w:multiLevelType w:val="multilevel"/>
    <w:tmpl w:val="EDE2846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77391204"/>
    <w:multiLevelType w:val="multilevel"/>
    <w:tmpl w:val="A90C9C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77DA2E78"/>
    <w:multiLevelType w:val="multilevel"/>
    <w:tmpl w:val="F1025FC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7C0514F0"/>
    <w:multiLevelType w:val="multilevel"/>
    <w:tmpl w:val="DFF6983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11"/>
  </w:num>
  <w:num w:numId="5">
    <w:abstractNumId w:val="26"/>
  </w:num>
  <w:num w:numId="6">
    <w:abstractNumId w:val="29"/>
  </w:num>
  <w:num w:numId="7">
    <w:abstractNumId w:val="12"/>
  </w:num>
  <w:num w:numId="8">
    <w:abstractNumId w:val="28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23"/>
  </w:num>
  <w:num w:numId="14">
    <w:abstractNumId w:val="7"/>
  </w:num>
  <w:num w:numId="15">
    <w:abstractNumId w:val="18"/>
  </w:num>
  <w:num w:numId="16">
    <w:abstractNumId w:val="4"/>
  </w:num>
  <w:num w:numId="17">
    <w:abstractNumId w:val="25"/>
  </w:num>
  <w:num w:numId="18">
    <w:abstractNumId w:val="2"/>
  </w:num>
  <w:num w:numId="19">
    <w:abstractNumId w:val="0"/>
  </w:num>
  <w:num w:numId="20">
    <w:abstractNumId w:val="27"/>
  </w:num>
  <w:num w:numId="21">
    <w:abstractNumId w:val="8"/>
    <w:lvlOverride w:ilvl="0">
      <w:startOverride w:val="1"/>
    </w:lvlOverride>
  </w:num>
  <w:num w:numId="22">
    <w:abstractNumId w:val="16"/>
  </w:num>
  <w:num w:numId="23">
    <w:abstractNumId w:val="11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2"/>
  </w:num>
  <w:num w:numId="26">
    <w:abstractNumId w:val="14"/>
  </w:num>
  <w:num w:numId="27">
    <w:abstractNumId w:val="17"/>
  </w:num>
  <w:num w:numId="28">
    <w:abstractNumId w:val="6"/>
  </w:num>
  <w:num w:numId="29">
    <w:abstractNumId w:val="10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3"/>
  </w:num>
  <w:num w:numId="32">
    <w:abstractNumId w:val="21"/>
  </w:num>
  <w:num w:numId="33">
    <w:abstractNumId w:val="19"/>
  </w:num>
  <w:num w:numId="34">
    <w:abstractNumId w:val="1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4C"/>
    <w:rsid w:val="00124E45"/>
    <w:rsid w:val="001D1576"/>
    <w:rsid w:val="0021750D"/>
    <w:rsid w:val="0033788D"/>
    <w:rsid w:val="00350C5D"/>
    <w:rsid w:val="003D7601"/>
    <w:rsid w:val="00590A98"/>
    <w:rsid w:val="00725074"/>
    <w:rsid w:val="0082648F"/>
    <w:rsid w:val="00BC4F4C"/>
    <w:rsid w:val="00CD5BF6"/>
    <w:rsid w:val="00DE006C"/>
    <w:rsid w:val="00DE0E06"/>
    <w:rsid w:val="00E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13CF"/>
  <w15:docId w15:val="{99EBA83D-CD78-46C6-8E2C-F8AC823B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F4C"/>
    <w:pPr>
      <w:widowControl/>
    </w:pPr>
  </w:style>
  <w:style w:type="paragraph" w:customStyle="1" w:styleId="Heading">
    <w:name w:val="Heading"/>
    <w:basedOn w:val="Standard"/>
    <w:next w:val="Textbody"/>
    <w:rsid w:val="00BC4F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BC4F4C"/>
    <w:pPr>
      <w:spacing w:after="120"/>
    </w:pPr>
  </w:style>
  <w:style w:type="paragraph" w:styleId="Lista">
    <w:name w:val="List"/>
    <w:basedOn w:val="Textbody"/>
    <w:rsid w:val="00BC4F4C"/>
    <w:rPr>
      <w:rFonts w:cs="Mangal"/>
    </w:rPr>
  </w:style>
  <w:style w:type="paragraph" w:customStyle="1" w:styleId="Legenda1">
    <w:name w:val="Legenda1"/>
    <w:basedOn w:val="Standard"/>
    <w:rsid w:val="00BC4F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C4F4C"/>
    <w:pPr>
      <w:suppressLineNumbers/>
    </w:pPr>
    <w:rPr>
      <w:rFonts w:cs="Mangal"/>
    </w:rPr>
  </w:style>
  <w:style w:type="paragraph" w:styleId="Akapitzlist">
    <w:name w:val="List Paragraph"/>
    <w:basedOn w:val="Standard"/>
    <w:rsid w:val="00BC4F4C"/>
    <w:pPr>
      <w:ind w:left="720"/>
    </w:pPr>
  </w:style>
  <w:style w:type="character" w:customStyle="1" w:styleId="ListLabel1">
    <w:name w:val="ListLabel 1"/>
    <w:rsid w:val="00BC4F4C"/>
    <w:rPr>
      <w:rFonts w:eastAsia="OpenSymbol" w:cs="OpenSymbol"/>
    </w:rPr>
  </w:style>
  <w:style w:type="character" w:customStyle="1" w:styleId="NumberingSymbols">
    <w:name w:val="Numbering Symbols"/>
    <w:rsid w:val="00BC4F4C"/>
  </w:style>
  <w:style w:type="numbering" w:customStyle="1" w:styleId="WWNum1">
    <w:name w:val="WWNum1"/>
    <w:basedOn w:val="Bezlisty"/>
    <w:rsid w:val="00BC4F4C"/>
    <w:pPr>
      <w:numPr>
        <w:numId w:val="1"/>
      </w:numPr>
    </w:pPr>
  </w:style>
  <w:style w:type="numbering" w:customStyle="1" w:styleId="WWNum2">
    <w:name w:val="WWNum2"/>
    <w:basedOn w:val="Bezlisty"/>
    <w:rsid w:val="00BC4F4C"/>
    <w:pPr>
      <w:numPr>
        <w:numId w:val="2"/>
      </w:numPr>
    </w:pPr>
  </w:style>
  <w:style w:type="numbering" w:customStyle="1" w:styleId="WWNum3">
    <w:name w:val="WWNum3"/>
    <w:basedOn w:val="Bezlisty"/>
    <w:rsid w:val="00BC4F4C"/>
    <w:pPr>
      <w:numPr>
        <w:numId w:val="3"/>
      </w:numPr>
    </w:pPr>
  </w:style>
  <w:style w:type="numbering" w:customStyle="1" w:styleId="WWNum4">
    <w:name w:val="WWNum4"/>
    <w:basedOn w:val="Bezlisty"/>
    <w:rsid w:val="00BC4F4C"/>
    <w:pPr>
      <w:numPr>
        <w:numId w:val="4"/>
      </w:numPr>
    </w:pPr>
  </w:style>
  <w:style w:type="numbering" w:customStyle="1" w:styleId="WWNum5">
    <w:name w:val="WWNum5"/>
    <w:basedOn w:val="Bezlisty"/>
    <w:rsid w:val="00BC4F4C"/>
    <w:pPr>
      <w:numPr>
        <w:numId w:val="5"/>
      </w:numPr>
    </w:pPr>
  </w:style>
  <w:style w:type="numbering" w:customStyle="1" w:styleId="WWNum6">
    <w:name w:val="WWNum6"/>
    <w:basedOn w:val="Bezlisty"/>
    <w:rsid w:val="00BC4F4C"/>
    <w:pPr>
      <w:numPr>
        <w:numId w:val="6"/>
      </w:numPr>
    </w:pPr>
  </w:style>
  <w:style w:type="numbering" w:customStyle="1" w:styleId="WWNum7">
    <w:name w:val="WWNum7"/>
    <w:basedOn w:val="Bezlisty"/>
    <w:rsid w:val="00BC4F4C"/>
    <w:pPr>
      <w:numPr>
        <w:numId w:val="7"/>
      </w:numPr>
    </w:pPr>
  </w:style>
  <w:style w:type="numbering" w:customStyle="1" w:styleId="WWNum8">
    <w:name w:val="WWNum8"/>
    <w:basedOn w:val="Bezlisty"/>
    <w:rsid w:val="00BC4F4C"/>
    <w:pPr>
      <w:numPr>
        <w:numId w:val="8"/>
      </w:numPr>
    </w:pPr>
  </w:style>
  <w:style w:type="numbering" w:customStyle="1" w:styleId="WWNum9">
    <w:name w:val="WWNum9"/>
    <w:basedOn w:val="Bezlisty"/>
    <w:rsid w:val="00BC4F4C"/>
    <w:pPr>
      <w:numPr>
        <w:numId w:val="9"/>
      </w:numPr>
    </w:pPr>
  </w:style>
  <w:style w:type="numbering" w:customStyle="1" w:styleId="WWNum10">
    <w:name w:val="WWNum10"/>
    <w:basedOn w:val="Bezlisty"/>
    <w:rsid w:val="00BC4F4C"/>
    <w:pPr>
      <w:numPr>
        <w:numId w:val="10"/>
      </w:numPr>
    </w:pPr>
  </w:style>
  <w:style w:type="numbering" w:customStyle="1" w:styleId="WWNum11">
    <w:name w:val="WWNum11"/>
    <w:basedOn w:val="Bezlisty"/>
    <w:rsid w:val="00BC4F4C"/>
    <w:pPr>
      <w:numPr>
        <w:numId w:val="11"/>
      </w:numPr>
    </w:pPr>
  </w:style>
  <w:style w:type="numbering" w:customStyle="1" w:styleId="WWNum12">
    <w:name w:val="WWNum12"/>
    <w:basedOn w:val="Bezlisty"/>
    <w:rsid w:val="00BC4F4C"/>
    <w:pPr>
      <w:numPr>
        <w:numId w:val="12"/>
      </w:numPr>
    </w:pPr>
  </w:style>
  <w:style w:type="numbering" w:customStyle="1" w:styleId="WWNum13">
    <w:name w:val="WWNum13"/>
    <w:basedOn w:val="Bezlisty"/>
    <w:rsid w:val="00BC4F4C"/>
    <w:pPr>
      <w:numPr>
        <w:numId w:val="13"/>
      </w:numPr>
    </w:pPr>
  </w:style>
  <w:style w:type="numbering" w:customStyle="1" w:styleId="WWNum14">
    <w:name w:val="WWNum14"/>
    <w:basedOn w:val="Bezlisty"/>
    <w:rsid w:val="00BC4F4C"/>
    <w:pPr>
      <w:numPr>
        <w:numId w:val="14"/>
      </w:numPr>
    </w:pPr>
  </w:style>
  <w:style w:type="numbering" w:customStyle="1" w:styleId="WWNum15">
    <w:name w:val="WWNum15"/>
    <w:basedOn w:val="Bezlisty"/>
    <w:rsid w:val="00BC4F4C"/>
    <w:pPr>
      <w:numPr>
        <w:numId w:val="15"/>
      </w:numPr>
    </w:pPr>
  </w:style>
  <w:style w:type="numbering" w:customStyle="1" w:styleId="WWNum16">
    <w:name w:val="WWNum16"/>
    <w:basedOn w:val="Bezlisty"/>
    <w:rsid w:val="00BC4F4C"/>
    <w:pPr>
      <w:numPr>
        <w:numId w:val="16"/>
      </w:numPr>
    </w:pPr>
  </w:style>
  <w:style w:type="numbering" w:customStyle="1" w:styleId="WWNum17">
    <w:name w:val="WWNum17"/>
    <w:basedOn w:val="Bezlisty"/>
    <w:rsid w:val="00BC4F4C"/>
    <w:pPr>
      <w:numPr>
        <w:numId w:val="17"/>
      </w:numPr>
    </w:pPr>
  </w:style>
  <w:style w:type="numbering" w:customStyle="1" w:styleId="WWNum18">
    <w:name w:val="WWNum18"/>
    <w:basedOn w:val="Bezlisty"/>
    <w:rsid w:val="00BC4F4C"/>
    <w:pPr>
      <w:numPr>
        <w:numId w:val="18"/>
      </w:numPr>
    </w:pPr>
  </w:style>
  <w:style w:type="numbering" w:customStyle="1" w:styleId="WWNum19">
    <w:name w:val="WWNum19"/>
    <w:basedOn w:val="Bezlisty"/>
    <w:rsid w:val="00BC4F4C"/>
    <w:pPr>
      <w:numPr>
        <w:numId w:val="19"/>
      </w:numPr>
    </w:pPr>
  </w:style>
  <w:style w:type="numbering" w:customStyle="1" w:styleId="WWNum20">
    <w:name w:val="WWNum20"/>
    <w:basedOn w:val="Bezlisty"/>
    <w:rsid w:val="00BC4F4C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A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A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A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A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A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2567</Words>
  <Characters>15407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mbodys</dc:creator>
  <cp:lastModifiedBy>Bożena</cp:lastModifiedBy>
  <cp:revision>3</cp:revision>
  <cp:lastPrinted>2015-11-06T03:56:00Z</cp:lastPrinted>
  <dcterms:created xsi:type="dcterms:W3CDTF">2018-11-13T09:04:00Z</dcterms:created>
  <dcterms:modified xsi:type="dcterms:W3CDTF">2018-11-13T09:04:00Z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